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5D1E" w14:textId="77777777" w:rsidR="008923C2" w:rsidRDefault="00000000">
      <w:r>
        <w:rPr>
          <w:b/>
          <w:sz w:val="32"/>
        </w:rPr>
        <w:t>NetRoadshow</w:t>
      </w:r>
      <w:r>
        <w:rPr>
          <w:sz w:val="32"/>
        </w:rPr>
        <w:t xml:space="preserve"> Event Transcript</w:t>
      </w:r>
    </w:p>
    <w:p w14:paraId="2B822DF4" w14:textId="77777777" w:rsidR="008923C2" w:rsidRDefault="00000000">
      <w:pPr>
        <w:pStyle w:val="Title"/>
      </w:pPr>
      <w:r>
        <w:t>Transcript Only - Presight’S 2Q2026 Earnings Call</w:t>
      </w:r>
    </w:p>
    <w:p w14:paraId="3C29AC41" w14:textId="77777777" w:rsidR="008923C2" w:rsidRDefault="00000000">
      <w:r>
        <w:t>Document created on: 2026-08-12 22:24:29 UTC</w:t>
      </w:r>
    </w:p>
    <w:p w14:paraId="25C1FF73" w14:textId="77777777" w:rsidR="008923C2" w:rsidRDefault="00000000">
      <w:r>
        <w:br/>
      </w:r>
      <w:r>
        <w:br/>
      </w:r>
    </w:p>
    <w:p w14:paraId="1E719D58" w14:textId="77777777" w:rsidR="008923C2" w:rsidRDefault="00000000">
      <w:r>
        <w:br/>
      </w:r>
      <w:r>
        <w:br/>
      </w:r>
    </w:p>
    <w:p w14:paraId="07AE0626" w14:textId="77777777" w:rsidR="008923C2" w:rsidRDefault="00000000">
      <w:r>
        <w:br w:type="page"/>
      </w:r>
    </w:p>
    <w:p w14:paraId="3A2E96BA" w14:textId="77777777" w:rsidR="008923C2" w:rsidRDefault="00000000">
      <w:pPr>
        <w:spacing w:line="300" w:lineRule="auto"/>
      </w:pPr>
      <w:r>
        <w:rPr>
          <w:b/>
          <w:color w:val="000000"/>
        </w:rPr>
        <w:lastRenderedPageBreak/>
        <w:t>Omar Maher (Moderator)</w:t>
      </w:r>
    </w:p>
    <w:p w14:paraId="28593CE2" w14:textId="77777777" w:rsidR="008923C2" w:rsidRDefault="00000000">
      <w:pPr>
        <w:spacing w:line="300" w:lineRule="auto"/>
      </w:pPr>
      <w:r>
        <w:rPr>
          <w:color w:val="000000"/>
        </w:rPr>
        <w:t>Good morning, and good afternoon, everyone. This is Omar Maher, EFG Hermes. I'd like to welcome everyone to Presight's 2Q 2026 Results Conference Call. The call will begin with a discussion of the key highlights of the quarter, and this will be followed by a Q&amp;A session. And I will now hand the call over to Roger Tejwani, Senior Director of Investor Relations at Presight. Thank you.</w:t>
      </w:r>
    </w:p>
    <w:p w14:paraId="02815F61" w14:textId="77777777" w:rsidR="008923C2" w:rsidRDefault="00000000">
      <w:pPr>
        <w:spacing w:line="300" w:lineRule="auto"/>
      </w:pPr>
      <w:r>
        <w:rPr>
          <w:b/>
          <w:color w:val="000000"/>
        </w:rPr>
        <w:t>Roger Tejwani (Senior Director, Investor Relations)</w:t>
      </w:r>
    </w:p>
    <w:p w14:paraId="3834C556" w14:textId="77777777" w:rsidR="008923C2" w:rsidRDefault="00000000">
      <w:pPr>
        <w:spacing w:line="300" w:lineRule="auto"/>
      </w:pPr>
      <w:r>
        <w:rPr>
          <w:color w:val="000000"/>
        </w:rPr>
        <w:t>Good afternoon, ladies and gentlemen. Thank you for joining us on today's call covering Presight's second quarter 2026 results. As a company at the forefront of applied AI, we felt it was only fitting to present today's strategic and financial highlights through our digital avatars. This innovative solution combines AI-generated speech, digital human technology and enterprise knowledge to demonstrate how we are applying AI in practical ways to enhance communication and deliver a more interactive experience to the investment community.</w:t>
      </w:r>
    </w:p>
    <w:p w14:paraId="5B833774" w14:textId="77777777" w:rsidR="008923C2" w:rsidRDefault="00000000">
      <w:pPr>
        <w:spacing w:line="300" w:lineRule="auto"/>
      </w:pPr>
      <w:r>
        <w:rPr>
          <w:color w:val="000000"/>
        </w:rPr>
        <w:t>For your reference, the presentation we are about to run through is available in the Investors section of the company's website at www.presight.ai. Please note that the contents of this call may contain forward-looking statements, which should be considered in conjunction with the disclaimer included in the presentation. I'll now hand it over to our CEO, Thomas.</w:t>
      </w:r>
    </w:p>
    <w:p w14:paraId="53F34B5C" w14:textId="77777777" w:rsidR="008923C2" w:rsidRDefault="00000000">
      <w:pPr>
        <w:spacing w:line="300" w:lineRule="auto"/>
      </w:pPr>
      <w:r>
        <w:rPr>
          <w:b/>
          <w:color w:val="000000"/>
        </w:rPr>
        <w:t>Thomas Pramotedham (Chief Executive Officer)</w:t>
      </w:r>
    </w:p>
    <w:p w14:paraId="379EE9AE" w14:textId="77777777" w:rsidR="008923C2" w:rsidRDefault="00000000">
      <w:pPr>
        <w:spacing w:line="300" w:lineRule="auto"/>
      </w:pPr>
      <w:r>
        <w:rPr>
          <w:color w:val="000000"/>
        </w:rPr>
        <w:t>Good afternoon, everyone, and thank you for joining us today. In the context of a dynamic regional landscape, our strong second quarter performance operationally and financially speaks to the strength of our execution and the durability of our business model. In the second quarter, revenue grew 36%, EBITDA grew 37% and profit after tax grew 30%. This was our strongest quarter of profit growth since the 15% corporate tax regime came in against a strong comparative period where revenue and EBITDA grew by 53% and 45%, respectively.</w:t>
      </w:r>
    </w:p>
    <w:p w14:paraId="66778935" w14:textId="77777777" w:rsidR="008923C2" w:rsidRDefault="00000000">
      <w:pPr>
        <w:spacing w:line="300" w:lineRule="auto"/>
      </w:pPr>
      <w:r>
        <w:rPr>
          <w:color w:val="000000"/>
        </w:rPr>
        <w:t>And we did that while expanding organic EBITDA margin by 265 basis points. Underneath those numbers is a simple shift in our market. And I want to spend a few minutes on it. Ram will give you a deeper drill down into our financials later. Across our markets, geopolitical developments are reinforcing the strategic importance of digital sovereignty. Governments and enterprises are placing greater emphasis on the resilience and security of critical national infrastructure. AI deployment is shifting toward localized, secure, sovereign-aligned environments.</w:t>
      </w:r>
    </w:p>
    <w:p w14:paraId="12D79DA8" w14:textId="77777777" w:rsidR="008923C2" w:rsidRDefault="00000000">
      <w:pPr>
        <w:spacing w:line="300" w:lineRule="auto"/>
      </w:pPr>
      <w:r>
        <w:rPr>
          <w:color w:val="000000"/>
        </w:rPr>
        <w:lastRenderedPageBreak/>
        <w:t>That plays directly to how we are built. Our competitive advantage extends well beyond stand-alone AI software. We deliver integrated capabilities across the full value chain from digital infrastructure to national-scale data platforms and advanced agentic AI through a localized end-to-end delivery model built for mission-critical and highly regulated environments. That model has already proven at scale here in the UAE, where our solutions are embedded across core government functions spanning public safety, financial resilience, justice modernization, energy management and critical infrastructure.</w:t>
      </w:r>
    </w:p>
    <w:p w14:paraId="74C802FB" w14:textId="77777777" w:rsidR="008923C2" w:rsidRDefault="00000000">
      <w:pPr>
        <w:spacing w:line="300" w:lineRule="auto"/>
      </w:pPr>
      <w:r>
        <w:rPr>
          <w:color w:val="000000"/>
        </w:rPr>
        <w:t>This quarter, we strengthened that position further. We renewed key national deployments and won new contracts across public safety, security and non-kinetic defense. We expanded our role as an enabler of the UAE's transition to an AI-native government, deploying AI agents across government workflows, decision-making and service delivery. And through our engagement with the Abu Dhabi Chamber of Commerce, we extended our Agentic capabilities to small- and medium-sized enterprises.</w:t>
      </w:r>
    </w:p>
    <w:p w14:paraId="382745EE" w14:textId="77777777" w:rsidR="008923C2" w:rsidRDefault="00000000">
      <w:pPr>
        <w:spacing w:line="300" w:lineRule="auto"/>
      </w:pPr>
      <w:r>
        <w:rPr>
          <w:color w:val="000000"/>
        </w:rPr>
        <w:t>Outside of the UAE, international revenue grew 19% in the quarter and 40% for the first half. We deepened our engagements in Kazakhstan, entered the Balkans through Montenegro, opened a new distribution channel in financial services and importantly, AIQ secured its first long-term international contract. Turning now to some of the operational highlights from the quarter. We delivered record domestic order intake of AED 2.5 billion, supported by new contract awards and major platform renewals.</w:t>
      </w:r>
    </w:p>
    <w:p w14:paraId="55B280EB" w14:textId="77777777" w:rsidR="008923C2" w:rsidRDefault="00000000">
      <w:pPr>
        <w:spacing w:line="300" w:lineRule="auto"/>
      </w:pPr>
      <w:r>
        <w:rPr>
          <w:color w:val="000000"/>
        </w:rPr>
        <w:t>At the federal level, we broadened our capabilities in public safety and security through new contract wins in non-kinetic defense and the renewal of our Lifesaver platform, supporting the UAE's National Crisis and Emergency Authority. In June, we were honored to showcase Presight's AI-native Workforce Lab at the UAE Ministry of Cabinet Affairs Agentic Government Retreat, helping representatives from 24 agencies across the government, energy, finance, public safety and mobility sectors to rapidly build, train, deploy and govern teams of specialist agents using Presight's sovereign-ready AI agentic platform.</w:t>
      </w:r>
    </w:p>
    <w:p w14:paraId="3C089FD2" w14:textId="77777777" w:rsidR="008923C2" w:rsidRDefault="00000000">
      <w:pPr>
        <w:spacing w:line="300" w:lineRule="auto"/>
      </w:pPr>
      <w:r>
        <w:rPr>
          <w:color w:val="000000"/>
        </w:rPr>
        <w:t>In parallel, we continue to deepen our engagement across the Abu Dhabi government ecosystem, renewing our SafeCity platform with our 100% renewal rate across core sovereign deployments, underscoring the mission-critical role our solutions play and the strong value we continue to deliver to our customers as well as supporting the digital transformation of Abu Dhabi Customs and extending our role in next-generation mobility initiatives across the Emirate.</w:t>
      </w:r>
    </w:p>
    <w:p w14:paraId="31E81D12" w14:textId="77777777" w:rsidR="008923C2" w:rsidRDefault="00000000">
      <w:pPr>
        <w:spacing w:line="300" w:lineRule="auto"/>
      </w:pPr>
      <w:r>
        <w:rPr>
          <w:color w:val="000000"/>
        </w:rPr>
        <w:t xml:space="preserve">Building on our work with the Abu Dhabi Accountability Authority, we secured a new contract with e&amp; that extends our AI-enabled audit capabilities into the enterprise sector, highlighting the growing momentum behind sovereign AI adoption in the UAE as enterprises increasingly seek control over compute, data locality and consumption </w:t>
      </w:r>
      <w:r>
        <w:rPr>
          <w:color w:val="000000"/>
        </w:rPr>
        <w:lastRenderedPageBreak/>
        <w:t>economics rather than remaining dependent on third-party frontier model providers. We continue to play a pivotal role in supporting this broader adoption across the economy.</w:t>
      </w:r>
    </w:p>
    <w:p w14:paraId="30B016F4" w14:textId="77777777" w:rsidR="008923C2" w:rsidRDefault="00000000">
      <w:pPr>
        <w:spacing w:line="300" w:lineRule="auto"/>
      </w:pPr>
      <w:r>
        <w:rPr>
          <w:color w:val="000000"/>
        </w:rPr>
        <w:t>Through our recent engagement with the Abu Dhabi Chamber of Commerce and Industry, we are helping to scale Agentic AI capabilities across more than 100,000 small- and medium-sized entities, enabling them to embed operational intelligence directly into their key workflows.</w:t>
      </w:r>
    </w:p>
    <w:p w14:paraId="6E6D5931" w14:textId="77777777" w:rsidR="008923C2" w:rsidRDefault="00000000">
      <w:pPr>
        <w:spacing w:line="300" w:lineRule="auto"/>
      </w:pPr>
      <w:r>
        <w:rPr>
          <w:color w:val="000000"/>
        </w:rPr>
        <w:t>Looking beyond the UAE, we continue to scale both horizontally and vertically across our priority international markets with nondomestic revenue increasing by 40% during the first half of 2026, the effectiveness of our land-and-expand strategy, where the trust, capabilities and value delivered across recent deployments create pathways into broader government mandates, neighboring markets and new sectors, validates our early market entry approach and reinforces confidence in the long-term growth opportunity from geographic diversification.</w:t>
      </w:r>
    </w:p>
    <w:p w14:paraId="7403A2BC" w14:textId="77777777" w:rsidR="008923C2" w:rsidRDefault="00000000">
      <w:pPr>
        <w:spacing w:line="300" w:lineRule="auto"/>
      </w:pPr>
      <w:r>
        <w:rPr>
          <w:color w:val="000000"/>
        </w:rPr>
        <w:t>In Kazakhstan, following the successful deployment of the landmark Astana Smart City platform, we secured new engagements with both the Ministry of Transport and the Mayor's Office of the City of Almaty. In Almaty, we are collaborating on the design and development of a unified urban operating system that integrates foundational digital infrastructure, including an AI data center with real-time analytics across core city functions, including mobility, public safety and municipal services.</w:t>
      </w:r>
    </w:p>
    <w:p w14:paraId="4A8702E7" w14:textId="77777777" w:rsidR="008923C2" w:rsidRDefault="00000000">
      <w:pPr>
        <w:spacing w:line="300" w:lineRule="auto"/>
      </w:pPr>
      <w:r>
        <w:rPr>
          <w:color w:val="000000"/>
        </w:rPr>
        <w:t>With the Ministry of Transport, we are evaluating the development of a national AI-powered transport intelligence platform to improve the monitoring, management and performance of Kazakhstan's transport network. The same pattern is now emerging in other markets. In the Balkans, our smart city deployment in Albania has progressed into a live engagement in Montenegro on AI-enabled infrastructure and next-generation smart city initiatives as well as preliminary discussions in neighboring Bosnia.</w:t>
      </w:r>
    </w:p>
    <w:p w14:paraId="38873475" w14:textId="77777777" w:rsidR="008923C2" w:rsidRDefault="00000000">
      <w:pPr>
        <w:spacing w:line="300" w:lineRule="auto"/>
      </w:pPr>
      <w:r>
        <w:rPr>
          <w:color w:val="000000"/>
        </w:rPr>
        <w:t>In Angola, the successful execution of the first phase of a national-level public safety deployment has led to advanced discussions on Phase 2 as well as emerging opportunities in other Central African markets. This momentum is also extending beyond government deployments. Our agreement with Banco Santander is a strong example of how AI solutions developed for highly regulated and complex government environments can be successfully scaled to support the distribution of AI-native applications into large enterprise ecosystems.</w:t>
      </w:r>
    </w:p>
    <w:p w14:paraId="35F42C7E" w14:textId="77777777" w:rsidR="008923C2" w:rsidRDefault="00000000">
      <w:pPr>
        <w:spacing w:line="300" w:lineRule="auto"/>
      </w:pPr>
      <w:r>
        <w:rPr>
          <w:color w:val="000000"/>
        </w:rPr>
        <w:t>Turning now to AIQ. During the second quarter, AIQ expanded its role within ADNOC's operating environment, deploying AI-powered video analytics across critical operational areas and signed an agreement in Oman to deploy AI-powered solutions that enhance operational efficiency, improve asset integrity and optimize production performance across the Sultanate upstream sector.</w:t>
      </w:r>
    </w:p>
    <w:p w14:paraId="735BBC41" w14:textId="77777777" w:rsidR="008923C2" w:rsidRDefault="00000000">
      <w:pPr>
        <w:spacing w:line="300" w:lineRule="auto"/>
      </w:pPr>
      <w:r>
        <w:rPr>
          <w:color w:val="000000"/>
        </w:rPr>
        <w:lastRenderedPageBreak/>
        <w:t>Significant progress was made in AIQ's international growth trajectory, piloting solutions across three new target markets, advancing plans for a joint venture with Egypt's Ministry of Petroleum and Mineral Resources in Egypt and importantly, securing its first long-term international contract with one of India's leading energy and materials companies to deploy AI-enabled computer vision capabilities across its refining and retail operations. This milestone not only broadens the scope of AIQ solutions beyond oil and gas but is also a testament to its ability to scale its solutions beyond the UAE.</w:t>
      </w:r>
    </w:p>
    <w:p w14:paraId="21520BB1" w14:textId="77777777" w:rsidR="008923C2" w:rsidRDefault="00000000">
      <w:pPr>
        <w:spacing w:line="300" w:lineRule="auto"/>
      </w:pPr>
      <w:r>
        <w:rPr>
          <w:color w:val="000000"/>
        </w:rPr>
        <w:t>Furthermore, we believe the UAE's recent transition toward greater autonomy and oil production, bilateral energy arrangements and supply agreements increases the constructive environment for AIQ with an anticipated increase in investment across upstream and midstream operations, aligning closely with AIQ solutions that enhance production agility, efficiency and cost discipline. We also continue to invest in the future of AI innovation.</w:t>
      </w:r>
    </w:p>
    <w:p w14:paraId="6397455D" w14:textId="77777777" w:rsidR="008923C2" w:rsidRDefault="00000000">
      <w:pPr>
        <w:spacing w:line="300" w:lineRule="auto"/>
      </w:pPr>
      <w:r>
        <w:rPr>
          <w:color w:val="000000"/>
        </w:rPr>
        <w:t>Over the last two years, we have developed a differentiated AI innovation platform through the Presight AI Accelerator and the Presight-Shorooq Fund. By identifying and equipping emerging AI companies with the tools to address complex national and industry challenges, we strengthen our pipeline of innovation, broaden our market opportunities and reinforce our position at the forefront of the evolving AI ecosystem.</w:t>
      </w:r>
    </w:p>
    <w:p w14:paraId="3D4CE63D" w14:textId="77777777" w:rsidR="008923C2" w:rsidRDefault="00000000">
      <w:pPr>
        <w:spacing w:line="300" w:lineRule="auto"/>
      </w:pPr>
      <w:r>
        <w:rPr>
          <w:color w:val="000000"/>
        </w:rPr>
        <w:t>We have already seen tangible commercial outcomes from this structured pathway. Nodeshift became the first accelerator company to receive investment through the Presight-Shorooq Fund and enter a strategic partnership with Presight, demonstrating how companies can progress from program participation to commercial engagement. Building on the success of Cohort 1, interest in the program continued to accelerate with applications for Cohort 2 increasing more than threefold to over 370 submissions from more than 60 countries.</w:t>
      </w:r>
    </w:p>
    <w:p w14:paraId="4A2989C0" w14:textId="77777777" w:rsidR="008923C2" w:rsidRDefault="00000000">
      <w:pPr>
        <w:spacing w:line="300" w:lineRule="auto"/>
      </w:pPr>
      <w:r>
        <w:rPr>
          <w:color w:val="000000"/>
        </w:rPr>
        <w:t>From this global pipeline, during the second quarter, we selected 12 companies to enter the program. These companies operating across high-potential sectors, including AI inference optimization, AI security, infrastructure inspection, health care and financial intelligence, have collectively raised more than USD 226 million to date at a combined valuation of approximately USD 1.3 billion, reflecting the increasing maturity of program participants. Complementing the accelerator is the Presight-Shorooq Fund, which allows us to selectively invest in the most strategically relevant companies.</w:t>
      </w:r>
    </w:p>
    <w:p w14:paraId="3696718D" w14:textId="77777777" w:rsidR="008923C2" w:rsidRDefault="00000000">
      <w:pPr>
        <w:spacing w:line="300" w:lineRule="auto"/>
      </w:pPr>
      <w:r>
        <w:rPr>
          <w:color w:val="000000"/>
        </w:rPr>
        <w:t>Since launch, the fund has completed eight investments across artificial intelligence, robotics, financial intelligence and intelligent infrastructure. One example is Advanced Machine Intelligence Labs, whose recent USD 1 billion funding round at a USD 3.5 billion valuation highlights the caliber of companies within the portfolio. I will now hand over to Ram to take you through the financial highlights.</w:t>
      </w:r>
    </w:p>
    <w:p w14:paraId="448F1027" w14:textId="77777777" w:rsidR="008923C2" w:rsidRDefault="00000000">
      <w:pPr>
        <w:spacing w:line="300" w:lineRule="auto"/>
      </w:pPr>
      <w:r>
        <w:rPr>
          <w:b/>
          <w:color w:val="000000"/>
        </w:rPr>
        <w:lastRenderedPageBreak/>
        <w:t>Ram Meyoor (Chief Financial Officer)</w:t>
      </w:r>
    </w:p>
    <w:p w14:paraId="3F6B9184" w14:textId="77777777" w:rsidR="008923C2" w:rsidRDefault="00000000">
      <w:pPr>
        <w:spacing w:line="300" w:lineRule="auto"/>
      </w:pPr>
      <w:r>
        <w:rPr>
          <w:color w:val="000000"/>
        </w:rPr>
        <w:t>Thank you, Thomas, and good afternoon, everyone. It's a pleasure to be here today to share our progress with you. This was another strong quarter for the business with double-digit growth delivered across all key financial metrics, lapping a particularly strong prior year period that benefited from a full quarter contribution from AIQ. The strong growth in domestic revenue, up by 42% year-on-year, was underpinned by the effective conversion of order backlog, core platform renewals and new contract awards.</w:t>
      </w:r>
    </w:p>
    <w:p w14:paraId="1CBA5DA1" w14:textId="77777777" w:rsidR="008923C2" w:rsidRDefault="00000000">
      <w:pPr>
        <w:spacing w:line="300" w:lineRule="auto"/>
      </w:pPr>
      <w:r>
        <w:rPr>
          <w:color w:val="000000"/>
        </w:rPr>
        <w:t>AIQ remained a key contributor, accounting for approximately 30% of group revenue, driven by ongoing deployment of its energy AI platform across ADNOC's upstream operations, alongside solid contribution from its Generation 1, 2 and 3 product mix. Complementing this was continued momentum across international markets with multiyear deployments across Kazakhstan, Albania, Jordan and Africa, driving international revenue growth close to 40% for the first half.</w:t>
      </w:r>
    </w:p>
    <w:p w14:paraId="34A6B9D0" w14:textId="77777777" w:rsidR="008923C2" w:rsidRDefault="00000000">
      <w:pPr>
        <w:spacing w:line="300" w:lineRule="auto"/>
      </w:pPr>
      <w:r>
        <w:rPr>
          <w:color w:val="000000"/>
        </w:rPr>
        <w:t>EBITDA growth in the second quarter outpaced revenue growth, driven primarily by strong organic revenue growth, combined with stable gross margin and disciplined cost management, which translated into a 265 basis point expansion in organic EBITDA margin. Margin expansion at the group level moderated to 19 basis points, reaching 20.1%, driven mainly by a higher proportion of third-party services in AIQ's quarterly revenue mix.</w:t>
      </w:r>
    </w:p>
    <w:p w14:paraId="7B332F9C" w14:textId="77777777" w:rsidR="008923C2" w:rsidRDefault="00000000">
      <w:pPr>
        <w:spacing w:line="300" w:lineRule="auto"/>
      </w:pPr>
      <w:r>
        <w:rPr>
          <w:color w:val="000000"/>
        </w:rPr>
        <w:t>Second quarter profit after tax delivered our strongest growth rate since the implementation of the 15% corporate tax regime with growth more than twice that recorded in the comparable period last year. From a margin perspective, the 75 basis points moderation to 16.4% reflected mix-driven dilution at AIQ as well as a AED 3.7 million reduction in finance income resulting from the lower interest rate environment, which accounted for approximately 70% of the overall year-on-year margin movement.</w:t>
      </w:r>
    </w:p>
    <w:p w14:paraId="75B665B6" w14:textId="77777777" w:rsidR="008923C2" w:rsidRDefault="00000000">
      <w:pPr>
        <w:spacing w:line="300" w:lineRule="auto"/>
      </w:pPr>
      <w:r>
        <w:rPr>
          <w:color w:val="000000"/>
        </w:rPr>
        <w:t>Profit after tax attributable to shareholders increased by 33.9% to AED 103.2 million in the second quarter and by 17.9% to AED 219 million for the first half. Looking at the geographic composition of our revenue and order intake. A key pillar of our strategy at IPO was to take best-in-class homegrown Emirati technology to global markets. Over the past three years, our international expansion has been deliberate and disciplined, focused on building a sustainable presence in priority markets rather than pursuing growth for growth's sake.</w:t>
      </w:r>
    </w:p>
    <w:p w14:paraId="7168E2A3" w14:textId="77777777" w:rsidR="008923C2" w:rsidRDefault="00000000">
      <w:pPr>
        <w:spacing w:line="300" w:lineRule="auto"/>
      </w:pPr>
      <w:r>
        <w:rPr>
          <w:color w:val="000000"/>
        </w:rPr>
        <w:t xml:space="preserve">This progress has been supported by an operating model designed to scale efficiently, deepen customer relationships and enhance the value we deliver to clients. International revenue increased by 19.1% year-on-year in the second quarter and by 39.9% year-on-year for the first half, with international markets now contributing more than a quarter of group revenue, up from less than 7% just two years ago. The transition is noteworthy. Not only does it reflect the growing demand for our solutions beyond the UAE and provide a strong </w:t>
      </w:r>
      <w:r>
        <w:rPr>
          <w:color w:val="000000"/>
        </w:rPr>
        <w:lastRenderedPageBreak/>
        <w:t>foundation for continued international expansion, it also enhances the quality and resilience of our revenue base.</w:t>
      </w:r>
    </w:p>
    <w:p w14:paraId="5FCB7A3A" w14:textId="77777777" w:rsidR="008923C2" w:rsidRDefault="00000000">
      <w:pPr>
        <w:spacing w:line="300" w:lineRule="auto"/>
      </w:pPr>
      <w:r>
        <w:rPr>
          <w:color w:val="000000"/>
        </w:rPr>
        <w:t>Aggregate new orders reached AED 2.5 billion in the second quarter and AED 2.9 billion for the first half. While the majority of order intake during the period originated from our domestic market, this should be viewed in the context of several large-scale national program renewals that were awarded during the second quarter. Our international pipeline remains robust, and we expect a number of key opportunities that are currently in advanced stages of engagement to convert during the second half of this year. Turning to some of the key performance indicators that reflect the quality and visibility of our financial framework.</w:t>
      </w:r>
    </w:p>
    <w:p w14:paraId="1C1CFC62" w14:textId="77777777" w:rsidR="008923C2" w:rsidRDefault="00000000">
      <w:pPr>
        <w:spacing w:line="300" w:lineRule="auto"/>
      </w:pPr>
      <w:r>
        <w:rPr>
          <w:color w:val="000000"/>
        </w:rPr>
        <w:t>A defining strength of Presight's business model is the high proportion of multiyear contracts which provides strong visibility and support long-term growth planning. During the second quarter, 93.5% of revenue came from multiyear contracts, up from 91.6% in the prior year period. On a first half basis, the contribution remained similarly strong at 94.6% of total revenue. Revenue generated from multiyear engagements grew by 39% year-on-year in quarter two and by 27.9% in the first half, continuing a trend that has seen multiyear contract revenue grow at more than 55% annually over the past two years.</w:t>
      </w:r>
    </w:p>
    <w:p w14:paraId="1F0AF200" w14:textId="77777777" w:rsidR="008923C2" w:rsidRDefault="00000000">
      <w:pPr>
        <w:spacing w:line="300" w:lineRule="auto"/>
      </w:pPr>
      <w:r>
        <w:rPr>
          <w:color w:val="000000"/>
        </w:rPr>
        <w:t>The quality of our revenue is also reflected in the balance between backlog conversion and quick turn revenue generation. During the quarter, 63.2% of revenue was generated from contracts secured in prior periods. On a first half basis, backlog-related revenue represented 72.9% of total revenue compared to 68.7% in the prior year, demonstrating our ability to convert both order backlog into revenue and pipeline opportunities into new orders. Let's now turn to the outlook.</w:t>
      </w:r>
    </w:p>
    <w:p w14:paraId="01F2BEE6" w14:textId="77777777" w:rsidR="008923C2" w:rsidRDefault="00000000">
      <w:pPr>
        <w:spacing w:line="300" w:lineRule="auto"/>
      </w:pPr>
      <w:r>
        <w:rPr>
          <w:color w:val="000000"/>
        </w:rPr>
        <w:t>The performance we have delivered during the first half reinforces our confidence in the medium-term growth trajectory of the business and our guidance introduced in February this year remains unchanged. Just to add a little context to the numbers, our 2025 to 2029 forecast is based on organic growth with any future inorganic activity providing upside to this guidance.</w:t>
      </w:r>
    </w:p>
    <w:p w14:paraId="58922950" w14:textId="77777777" w:rsidR="008923C2" w:rsidRDefault="00000000">
      <w:pPr>
        <w:spacing w:line="300" w:lineRule="auto"/>
      </w:pPr>
      <w:r>
        <w:rPr>
          <w:color w:val="000000"/>
        </w:rPr>
        <w:t>The uplift in forward EBITDA guidance reflects two factors: increased operating leverage in the international business as greenfield expansion enters its renewal phase and having established a strong platform for growth, a reduced need to scale technical headcount and investment in research and development as rapidly as in the past three years. Our guidance on post-tax profit assumes a constant 15% effective tax rate and anticipates a further decline in interest rates, which will impact finance income.</w:t>
      </w:r>
    </w:p>
    <w:p w14:paraId="7A47BEE6" w14:textId="77777777" w:rsidR="008923C2" w:rsidRDefault="00000000">
      <w:pPr>
        <w:spacing w:line="300" w:lineRule="auto"/>
      </w:pPr>
      <w:r>
        <w:rPr>
          <w:color w:val="000000"/>
        </w:rPr>
        <w:t xml:space="preserve">Our confidence in the medium-term outlook is further underscored by the following: a robust order backlog of almost AED 5 billion, which underpins a substantial proportion of </w:t>
      </w:r>
      <w:r>
        <w:rPr>
          <w:color w:val="000000"/>
        </w:rPr>
        <w:lastRenderedPageBreak/>
        <w:t>our anticipated growth trajectory, a high proportion of long duration and sticky customer contracts, which provide a strong degree of visibility, predictability and resilience over the medium term, a demonstrable track record of converting pipeline opportunities into new orders, which has resulted in an average book-to-bill ratio of 1.4x over the past two years.</w:t>
      </w:r>
    </w:p>
    <w:p w14:paraId="2D73706C" w14:textId="77777777" w:rsidR="008923C2" w:rsidRDefault="00000000">
      <w:pPr>
        <w:spacing w:line="300" w:lineRule="auto"/>
      </w:pPr>
      <w:r>
        <w:rPr>
          <w:color w:val="000000"/>
        </w:rPr>
        <w:t>Continuing momentum across international markets with significant runway for further growth and an expectation that the contribution from international revenue will reach parity with our domestic business over the medium term and a strong balance sheet with cash and cash equivalents of AED 2 billion and no outstanding debt to fuel future organic and inorganic growth. Having considered the medium-term outlook, I wanted to close with some thoughts on what this means for our potential outturn this year. Current trading remains in line with management's full year expectations.</w:t>
      </w:r>
    </w:p>
    <w:p w14:paraId="40ACA43E" w14:textId="77777777" w:rsidR="008923C2" w:rsidRDefault="00000000">
      <w:pPr>
        <w:spacing w:line="300" w:lineRule="auto"/>
      </w:pPr>
      <w:r>
        <w:rPr>
          <w:color w:val="000000"/>
        </w:rPr>
        <w:t>Historically, the annual outturn across revenue, EBITDA and profit after tax has been weighted towards the second half, in line with the normal sovereign deployment cycles. Our strong first half performance this year means that the required contribution from the remainder of 2026 across all three guidance metrics remains below the average levels achieved over the last three years. With that, I'll hand back to Thomas for some closing remarks before we open the line for questions.</w:t>
      </w:r>
    </w:p>
    <w:p w14:paraId="3A25C387" w14:textId="77777777" w:rsidR="008923C2" w:rsidRDefault="00000000">
      <w:pPr>
        <w:spacing w:line="300" w:lineRule="auto"/>
      </w:pPr>
      <w:r>
        <w:rPr>
          <w:b/>
          <w:color w:val="000000"/>
        </w:rPr>
        <w:t>Thomas Pramotedham (Chief Executive Officer)</w:t>
      </w:r>
    </w:p>
    <w:p w14:paraId="55CAE630" w14:textId="77777777" w:rsidR="008923C2" w:rsidRDefault="00000000">
      <w:pPr>
        <w:spacing w:line="300" w:lineRule="auto"/>
      </w:pPr>
      <w:r>
        <w:rPr>
          <w:color w:val="000000"/>
        </w:rPr>
        <w:t>Thanks, Ram. Presight's performance in the second quarter underscores the strength and sustainability of our sovereign first operating model, advanced platform architecture and world-class talent. Our twin engines of growth, serving as a trusted digital transformation partner to UAE federal entities and state-owned enterprises, while advancing national priorities across high-growth international markets, continues to gain traction.</w:t>
      </w:r>
    </w:p>
    <w:p w14:paraId="63ED989A" w14:textId="77777777" w:rsidR="008923C2" w:rsidRDefault="00000000">
      <w:pPr>
        <w:spacing w:line="300" w:lineRule="auto"/>
      </w:pPr>
      <w:r>
        <w:rPr>
          <w:color w:val="000000"/>
        </w:rPr>
        <w:t>Notwithstanding a geopolitical backdrop that remains dynamic, we remain focused on executing with discipline, scaling responsibly, driving purposeful innovation and delivering transformative solutions that enhance economic resilience, improve quality of life and strengthen critical societal systems worldwide. Thank you for listening. And with that, I'll hand it back to our host as we open the line for live Q&amp;A.</w:t>
      </w:r>
    </w:p>
    <w:p w14:paraId="2D042BA1" w14:textId="77777777" w:rsidR="008923C2" w:rsidRDefault="00000000">
      <w:pPr>
        <w:spacing w:line="300" w:lineRule="auto"/>
      </w:pPr>
      <w:r>
        <w:rPr>
          <w:b/>
          <w:color w:val="000000"/>
        </w:rPr>
        <w:t>Omar Maher (Moderator)</w:t>
      </w:r>
    </w:p>
    <w:p w14:paraId="140A979B" w14:textId="77777777" w:rsidR="008923C2" w:rsidRDefault="00000000">
      <w:pPr>
        <w:spacing w:line="300" w:lineRule="auto"/>
      </w:pPr>
      <w:r>
        <w:rPr>
          <w:color w:val="000000"/>
        </w:rPr>
        <w:t>Thank you very much, gentlemen. It was quite an interesting presentation. So we'll move to the Q&amp;A part. So we'll take the first question from Karen Zhao.</w:t>
      </w:r>
    </w:p>
    <w:p w14:paraId="7566E029" w14:textId="77777777" w:rsidR="008923C2" w:rsidRDefault="00000000">
      <w:pPr>
        <w:spacing w:line="300" w:lineRule="auto"/>
      </w:pPr>
      <w:r>
        <w:rPr>
          <w:b/>
          <w:color w:val="000000"/>
        </w:rPr>
        <w:t>Karen Zhao (Analyst)</w:t>
      </w:r>
    </w:p>
    <w:p w14:paraId="06B27058" w14:textId="77777777" w:rsidR="008923C2" w:rsidRDefault="00000000">
      <w:pPr>
        <w:spacing w:line="300" w:lineRule="auto"/>
      </w:pPr>
      <w:r>
        <w:rPr>
          <w:color w:val="000000"/>
        </w:rPr>
        <w:t xml:space="preserve">Congratulations on the results. Karen Zhao from J.P. Morgan. I have three questions, please. So the first one is on the margins. On the group margin, that was partly held back by AIQ in </w:t>
      </w:r>
      <w:r>
        <w:rPr>
          <w:color w:val="000000"/>
        </w:rPr>
        <w:lastRenderedPageBreak/>
        <w:t>the quarter. I'd love to get your thoughts around how you see AIQ margin progress from here. I appreciate the clarification in terms of the revenue mix in the quarter. But just given that AIQ is expanding internationally, especially in newer markets, how do you see the incremental margin impact from here? And then the second question is on cash flow.</w:t>
      </w:r>
    </w:p>
    <w:p w14:paraId="068CA5BB" w14:textId="77777777" w:rsidR="008923C2" w:rsidRDefault="00000000">
      <w:pPr>
        <w:spacing w:line="300" w:lineRule="auto"/>
      </w:pPr>
      <w:r>
        <w:rPr>
          <w:color w:val="000000"/>
        </w:rPr>
        <w:t>So with the operating cash flow negative in the first half despite the quarter-on-quarter improvement, how are you tracking versus your previous expectations of the full year cash generation? And is it possible to share any color on what you're seeing in cash collections so far in the second half?</w:t>
      </w:r>
    </w:p>
    <w:p w14:paraId="5CBEAE87" w14:textId="77777777" w:rsidR="008923C2" w:rsidRDefault="00000000">
      <w:pPr>
        <w:spacing w:line="300" w:lineRule="auto"/>
      </w:pPr>
      <w:r>
        <w:rPr>
          <w:color w:val="000000"/>
        </w:rPr>
        <w:t>And then my last question is just on defense. So on this press release from the U.S. Central Command of launching a task force with the UAE in terms of military AI applications. I guess given your positioning and the defense wins you mentioned in the quarter, are you able to share if Presight is involved in this task force? Or do you see as a potential beneficiary of this framework?</w:t>
      </w:r>
    </w:p>
    <w:p w14:paraId="1A3A68B5" w14:textId="77777777" w:rsidR="008923C2" w:rsidRDefault="00000000">
      <w:pPr>
        <w:spacing w:line="300" w:lineRule="auto"/>
      </w:pPr>
      <w:r>
        <w:rPr>
          <w:b/>
          <w:color w:val="000000"/>
        </w:rPr>
        <w:t>Ram Meyoor (Chief Financial Officer)</w:t>
      </w:r>
    </w:p>
    <w:p w14:paraId="4DCF9E4D" w14:textId="77777777" w:rsidR="008923C2" w:rsidRDefault="00000000">
      <w:pPr>
        <w:spacing w:line="300" w:lineRule="auto"/>
      </w:pPr>
      <w:r>
        <w:rPr>
          <w:color w:val="000000"/>
        </w:rPr>
        <w:t>So thanks, Karen. I appreciate the questions. I will take the first two with respect to the margin profiles for AIQ and the operating cash flow color. So just to recall, our business model at any -- in any quarter -- any point in time, in any quarter is an aggregation of several projects being deployed in various stages of their deployment life cycle. So there's a tremendous amount of dynamic movements as to which quarter and what projects are being deployed.</w:t>
      </w:r>
    </w:p>
    <w:p w14:paraId="30F8D2CE" w14:textId="77777777" w:rsidR="008923C2" w:rsidRDefault="00000000">
      <w:pPr>
        <w:spacing w:line="300" w:lineRule="auto"/>
      </w:pPr>
      <w:r>
        <w:rPr>
          <w:color w:val="000000"/>
        </w:rPr>
        <w:t>From an AIQ standpoint, just to provide some context, it has evolved from a mere APC very specific based projects to a more enterprise-level model, business models like the Energy AI, which is very similar to Presight's. So as we look out into the -- so there's a bit of timing impact in terms of what level of software has been deployed in the first half. But as we step back and look at it into the second half, traditionally, AIQ has stepped up its software deployments, especially in Q4.</w:t>
      </w:r>
    </w:p>
    <w:p w14:paraId="54BBF2B7" w14:textId="77777777" w:rsidR="008923C2" w:rsidRDefault="00000000">
      <w:pPr>
        <w:spacing w:line="300" w:lineRule="auto"/>
      </w:pPr>
      <w:r>
        <w:rPr>
          <w:color w:val="000000"/>
        </w:rPr>
        <w:t>So what we expect to do -- expect the margins to do in terms of -- at the EBITDA level, we expect it to get back to the more normalized levels in terms of 25% to 30% range. That is -- that would indicate it is being -- it is going to be in alignment with what we have forecasted from a medium-term guidance standpoint. The other question around operating cash flow. Yes, the first half was about AED 94 million outflow. Effectively, the primary reason would be the growth in contract assets, which, in a way, is also expanding our working capital requirements.</w:t>
      </w:r>
    </w:p>
    <w:p w14:paraId="495B3411" w14:textId="77777777" w:rsidR="008923C2" w:rsidRDefault="00000000">
      <w:pPr>
        <w:spacing w:line="300" w:lineRule="auto"/>
      </w:pPr>
      <w:r>
        <w:rPr>
          <w:color w:val="000000"/>
        </w:rPr>
        <w:t xml:space="preserve">But however, there are a few things that we need to keep in mind as we look at these metrics. Firstly, we have accelerated revenue in Q1 and Q2 as shown by the significant growth profile that we have year-on-year for the half, which in turn drives the contract </w:t>
      </w:r>
      <w:r>
        <w:rPr>
          <w:color w:val="000000"/>
        </w:rPr>
        <w:lastRenderedPageBreak/>
        <w:t>assets position. We do have a majority, almost 95% of -- greater than 95% of customers are government customers, and they do have some amount of cycle time as they convert the -- as we work with them to convert the contract assets into trade receivables and thereafter to cash.</w:t>
      </w:r>
    </w:p>
    <w:p w14:paraId="4AE944FF" w14:textId="77777777" w:rsidR="008923C2" w:rsidRDefault="00000000">
      <w:pPr>
        <w:spacing w:line="300" w:lineRule="auto"/>
      </w:pPr>
      <w:r>
        <w:rPr>
          <w:color w:val="000000"/>
        </w:rPr>
        <w:t>So this is one impact on the contract assets growth with slight timing issues around the conversion of the contract assets into cash, that's driving the lower cash flows this year for the first half. However, it does improve the linearity in terms of as we step on the gas in the first half to release the pressure in terms of revenue metrics and other P&amp;L metrics in the second half. So that has got that positive side of the things as well. But as we look out into the second half of the year, just before I -- I was also looking at some other metrics in terms of -- you mentioned about the cash collection.</w:t>
      </w:r>
    </w:p>
    <w:p w14:paraId="7208B5C9" w14:textId="77777777" w:rsidR="008923C2" w:rsidRDefault="00000000">
      <w:pPr>
        <w:spacing w:line="300" w:lineRule="auto"/>
      </w:pPr>
      <w:r>
        <w:rPr>
          <w:color w:val="000000"/>
        </w:rPr>
        <w:t>In terms of -- just to give you a sense, we did have a pretty good first half for cash collection. We collected north of AED 1 billion in the first half for cash collection. And we expect -- as we get into the next second half, we expect an accelerated conversion of contract assets to trade receivables and also an accelerated trade receivables to cash cycle. So we do expect at the end of the year to have a cash collection that shows a pretty healthy growth compared to the AED 218 million of operating cash we showed in 2025. I'll hand over to Thomas for the other question around defense.</w:t>
      </w:r>
    </w:p>
    <w:p w14:paraId="5332E757" w14:textId="77777777" w:rsidR="008923C2" w:rsidRDefault="00000000">
      <w:pPr>
        <w:spacing w:line="300" w:lineRule="auto"/>
      </w:pPr>
      <w:r>
        <w:rPr>
          <w:b/>
          <w:color w:val="000000"/>
        </w:rPr>
        <w:t>Thomas Pramotedham (Chief Executive Officer)</w:t>
      </w:r>
    </w:p>
    <w:p w14:paraId="62E1D03E" w14:textId="77777777" w:rsidR="008923C2" w:rsidRDefault="00000000">
      <w:pPr>
        <w:spacing w:line="300" w:lineRule="auto"/>
      </w:pPr>
      <w:r>
        <w:rPr>
          <w:color w:val="000000"/>
        </w:rPr>
        <w:t>Karen, thanks for the question. And just to cap out what Ram had described, one, the cash flow trends are as per our expectation because it has been the nature of the business across the years. Two, AIQ's margin mix will change as we expand out into the pilot sites outside of the UAE and they continue to develop on top of Energy AI as Energy AI moves into the second phase come 2027 Q2. For the U.S. CENTCOM arrangement, it's a great question.</w:t>
      </w:r>
    </w:p>
    <w:p w14:paraId="0BFEB9FC" w14:textId="77777777" w:rsidR="008923C2" w:rsidRDefault="00000000">
      <w:pPr>
        <w:spacing w:line="300" w:lineRule="auto"/>
      </w:pPr>
      <w:r>
        <w:rPr>
          <w:color w:val="000000"/>
        </w:rPr>
        <w:t>So one, through the conflict and Q1 results, we have informed the community that we are starting to get into defense. This MD&amp;A, we reported that we start to book in revenue from non-kinetic defense. So there's work we're doing around the Ministry of Defense enterprise AI rollout. So there is not so much in the military operations unit. CENTCOM, it's an initiative. We're getting the full details around it, of course, but it's a U.S.-UAE military AI initiative that will bring about the AI experts in the UAE and the U.S. together in a single place. Presight is prime to be very much involved in the discussion.</w:t>
      </w:r>
    </w:p>
    <w:p w14:paraId="4631BBC2" w14:textId="77777777" w:rsidR="008923C2" w:rsidRDefault="00000000">
      <w:pPr>
        <w:spacing w:line="300" w:lineRule="auto"/>
      </w:pPr>
      <w:r>
        <w:rPr>
          <w:color w:val="000000"/>
        </w:rPr>
        <w:t xml:space="preserve">I can't disclose exactly how we're going to do it, but it's something that I believe we can report in Q3, Q4 as we bring on more color on the defense deals that we can make public, right? But as part of the nature of Presight, the sovereignty AI infrastructure solution play that we've done mainly for the national security and natural crisis platforms will continue </w:t>
      </w:r>
      <w:r>
        <w:rPr>
          <w:color w:val="000000"/>
        </w:rPr>
        <w:lastRenderedPageBreak/>
        <w:t>to put us in a good position to grow into this space of non-kinetic defense and collaborations between UAE and U.S.</w:t>
      </w:r>
    </w:p>
    <w:p w14:paraId="7CFCD8B1" w14:textId="77777777" w:rsidR="008923C2" w:rsidRDefault="00000000">
      <w:pPr>
        <w:spacing w:line="300" w:lineRule="auto"/>
      </w:pPr>
      <w:r>
        <w:rPr>
          <w:b/>
          <w:color w:val="000000"/>
        </w:rPr>
        <w:t>Omar Maher (Moderator)</w:t>
      </w:r>
    </w:p>
    <w:p w14:paraId="0B11E8A1" w14:textId="77777777" w:rsidR="008923C2" w:rsidRDefault="00000000">
      <w:pPr>
        <w:spacing w:line="300" w:lineRule="auto"/>
      </w:pPr>
      <w:r>
        <w:rPr>
          <w:color w:val="000000"/>
        </w:rPr>
        <w:t>Next question is from Shahrukh Nawaz.</w:t>
      </w:r>
    </w:p>
    <w:p w14:paraId="4916125F" w14:textId="77777777" w:rsidR="008923C2" w:rsidRDefault="00000000">
      <w:pPr>
        <w:spacing w:line="300" w:lineRule="auto"/>
      </w:pPr>
      <w:r>
        <w:rPr>
          <w:b/>
          <w:color w:val="000000"/>
        </w:rPr>
        <w:t>Shahrukh Nawaz (Analyst)</w:t>
      </w:r>
    </w:p>
    <w:p w14:paraId="6ECBB4F4" w14:textId="77777777" w:rsidR="008923C2" w:rsidRDefault="00000000">
      <w:pPr>
        <w:spacing w:line="300" w:lineRule="auto"/>
      </w:pPr>
      <w:r>
        <w:rPr>
          <w:color w:val="000000"/>
        </w:rPr>
        <w:t>I have three questions. First is the new contract, which were by like the UAE government, Etisalat and Abu Dhabi Chamber of Commerce. How much will it contribute to the revenue by the end of 2026? Second is, can you highlight about the scheduled renewals for the second half and it will be in which markets like the international or the domestic market? And the third is about the cost. Like how do you see the G&amp;A and direct cost going ahead as this quarter, we can see in the direct costs like there was a rise in the subcontractor cost and project consumables. Can you just highlight more on it? And were there any impact from the geopolitical scenario?</w:t>
      </w:r>
    </w:p>
    <w:p w14:paraId="17E9EACE" w14:textId="77777777" w:rsidR="008923C2" w:rsidRDefault="00000000">
      <w:pPr>
        <w:spacing w:line="300" w:lineRule="auto"/>
      </w:pPr>
      <w:r>
        <w:rPr>
          <w:b/>
          <w:color w:val="000000"/>
        </w:rPr>
        <w:t>Ram Meyoor (Chief Financial Officer)</w:t>
      </w:r>
    </w:p>
    <w:p w14:paraId="03E1A58D" w14:textId="77777777" w:rsidR="008923C2" w:rsidRDefault="00000000">
      <w:pPr>
        <w:spacing w:line="300" w:lineRule="auto"/>
      </w:pPr>
      <w:r>
        <w:rPr>
          <w:color w:val="000000"/>
        </w:rPr>
        <w:t>So thank you, Nawaz. First question, I'll just -- in general, we have been agnostic to the geopolitical developments going on and the results is a vindication of that fact. So with respect to the local contract, without getting into the specifics, the AED 2.5 billion of domestic contracts has got varying stages of different tenors but to help you out with some kind of a metric that kind of helps you to model it out, you can assume on an average, a public safety contract or a smart city contract would have a three-year program. 50% of that would come in the first year.</w:t>
      </w:r>
    </w:p>
    <w:p w14:paraId="0298B4FE" w14:textId="77777777" w:rsidR="008923C2" w:rsidRDefault="00000000">
      <w:pPr>
        <w:spacing w:line="300" w:lineRule="auto"/>
      </w:pPr>
      <w:r>
        <w:rPr>
          <w:color w:val="000000"/>
        </w:rPr>
        <w:t>If there is a heavy product mix of infrastructure, 30% in the next and 20% in the third year. That's a normal consumption pattern of a backlog dollar into the -- in a three-year horizon. And it's not a linear equation. In terms of renewals, we do expect the second half to be stronger from the international front. As you can see, the order intake from the first half, the domestic was pretty strong and dominant.</w:t>
      </w:r>
    </w:p>
    <w:p w14:paraId="3764328A" w14:textId="77777777" w:rsidR="008923C2" w:rsidRDefault="00000000">
      <w:pPr>
        <w:spacing w:line="300" w:lineRule="auto"/>
      </w:pPr>
      <w:r>
        <w:rPr>
          <w:color w:val="000000"/>
        </w:rPr>
        <w:t>We expect the international programs to start yielding us the contract. As you may appreciate and recall, our international sales cycle is slightly on a longer-term basis in a sense that it takes a few more months compared to a domestic engagement process because of all the other credit structures, et cetera, that safeguards that we have to put as a part of the commercial process. So it is going to be -- renewals are going to be more -- based on the international.</w:t>
      </w:r>
    </w:p>
    <w:p w14:paraId="19F3AFCE" w14:textId="77777777" w:rsidR="008923C2" w:rsidRDefault="00000000">
      <w:pPr>
        <w:spacing w:line="300" w:lineRule="auto"/>
      </w:pPr>
      <w:r>
        <w:rPr>
          <w:color w:val="000000"/>
        </w:rPr>
        <w:t xml:space="preserve">We are working with some key customers in Africa that we expect to have a Phase 2 contracts coming through. And insofar as the third question about the cost, the overall, we </w:t>
      </w:r>
      <w:r>
        <w:rPr>
          <w:color w:val="000000"/>
        </w:rPr>
        <w:lastRenderedPageBreak/>
        <w:t>have made significant investments since Q1 of 2024 as is evident from the EBITDA suppression as compared to the prior years.</w:t>
      </w:r>
    </w:p>
    <w:p w14:paraId="34AC29E2" w14:textId="77777777" w:rsidR="008923C2" w:rsidRDefault="00000000">
      <w:pPr>
        <w:spacing w:line="300" w:lineRule="auto"/>
      </w:pPr>
      <w:r>
        <w:rPr>
          <w:color w:val="000000"/>
        </w:rPr>
        <w:t>What we -- we are also outlining as a part of the guidance is we have  -- the requirement for us to invest more as a proportion of revenue on our EBITDA or a fixed cost, which is building up structures internally to fuel the growth and continue the momentum is going to be lesser as we go into the second half and into the outer years.</w:t>
      </w:r>
    </w:p>
    <w:p w14:paraId="4BCF97D8" w14:textId="77777777" w:rsidR="008923C2" w:rsidRDefault="00000000">
      <w:pPr>
        <w:spacing w:line="300" w:lineRule="auto"/>
      </w:pPr>
      <w:r>
        <w:rPr>
          <w:color w:val="000000"/>
        </w:rPr>
        <w:t>This is baked into the guidance, and there is this sense of operating leverage that we expect to see. The subcontractor costs, et cetera, is more incidental, and it depends on the kind of mix at any point in time in any specific quarter we have in terms of deployment.</w:t>
      </w:r>
    </w:p>
    <w:p w14:paraId="76012404" w14:textId="77777777" w:rsidR="008923C2" w:rsidRDefault="00000000">
      <w:pPr>
        <w:spacing w:line="300" w:lineRule="auto"/>
      </w:pPr>
      <w:r>
        <w:rPr>
          <w:color w:val="000000"/>
        </w:rPr>
        <w:t>So a project typically in the initial phases like we are probably doing in Albania and a couple of domestic projects here in would carry a significant more subcontractor cost because that's more of the cloud and the implementation services, which are essentially third-party buy-sell arrangements that is driving the subcontract costs. But overall, we kind of reiterate our guidance as we stand here today based on our results so far and also a very strong backlog position of almost AED 5 billion to say we are confident reasonably about the medium-term guidance that we have set out.</w:t>
      </w:r>
    </w:p>
    <w:p w14:paraId="24CF9289" w14:textId="77777777" w:rsidR="008923C2" w:rsidRDefault="00000000">
      <w:pPr>
        <w:spacing w:line="300" w:lineRule="auto"/>
      </w:pPr>
      <w:r>
        <w:rPr>
          <w:b/>
          <w:color w:val="000000"/>
        </w:rPr>
        <w:t>Omar Maher (Moderator)</w:t>
      </w:r>
    </w:p>
    <w:p w14:paraId="4A354698" w14:textId="77777777" w:rsidR="008923C2" w:rsidRDefault="00000000">
      <w:pPr>
        <w:spacing w:line="300" w:lineRule="auto"/>
      </w:pPr>
      <w:r>
        <w:rPr>
          <w:color w:val="000000"/>
        </w:rPr>
        <w:t>Next question is from Maxim Nekrasov.</w:t>
      </w:r>
    </w:p>
    <w:p w14:paraId="78E2113A" w14:textId="77777777" w:rsidR="008923C2" w:rsidRDefault="00000000">
      <w:pPr>
        <w:spacing w:line="300" w:lineRule="auto"/>
      </w:pPr>
      <w:r>
        <w:rPr>
          <w:b/>
          <w:color w:val="000000"/>
        </w:rPr>
        <w:t>Maxim Nekrasov (Analyst)</w:t>
      </w:r>
    </w:p>
    <w:p w14:paraId="13BBE060" w14:textId="77777777" w:rsidR="008923C2" w:rsidRDefault="00000000">
      <w:pPr>
        <w:spacing w:line="300" w:lineRule="auto"/>
      </w:pPr>
      <w:r>
        <w:rPr>
          <w:color w:val="000000"/>
        </w:rPr>
        <w:t>I have a couple of questions. So the first one, I wonder if you can provide any detail on the potential size and materiality of the potential African sovereign AI opportunity and energy -- AIQ contract in India or any other pending contracts? And also related to that, should we expect those new contracts, particularly in Africa to be margin dilutive at the early stage given higher implementation costs, right, and implementation stage?</w:t>
      </w:r>
    </w:p>
    <w:p w14:paraId="299B718F" w14:textId="77777777" w:rsidR="008923C2" w:rsidRDefault="00000000">
      <w:pPr>
        <w:spacing w:line="300" w:lineRule="auto"/>
      </w:pPr>
      <w:r>
        <w:rPr>
          <w:color w:val="000000"/>
        </w:rPr>
        <w:t>And finally, on M&amp;A, I wonder how active you are in terms of M&amp;A? And what type of companies would you see as potentially more attractive looking for new products or geographic expansion or sector capabilities? Yes, if you can comment on M&amp;A as well.</w:t>
      </w:r>
    </w:p>
    <w:p w14:paraId="4B6034A5" w14:textId="77777777" w:rsidR="008923C2" w:rsidRDefault="00000000">
      <w:pPr>
        <w:spacing w:line="300" w:lineRule="auto"/>
      </w:pPr>
      <w:r>
        <w:rPr>
          <w:b/>
          <w:color w:val="000000"/>
        </w:rPr>
        <w:t>Thomas Pramotedham (Chief Executive Officer)</w:t>
      </w:r>
    </w:p>
    <w:p w14:paraId="44D07289" w14:textId="77777777" w:rsidR="008923C2" w:rsidRDefault="00000000">
      <w:pPr>
        <w:spacing w:line="300" w:lineRule="auto"/>
      </w:pPr>
      <w:r>
        <w:rPr>
          <w:color w:val="000000"/>
        </w:rPr>
        <w:t>Thanks, Maxim. I'll take it from the back. I'll do the M&amp;A questions first. So we are very focused on sectors, government tech, smart cities and financial services. I think for those who attended the earlier calls, other than technology, what we are looking for, it's really expanding our geographical distribution territories, right? So we have been very strong in becoming a platform to the emerging markets.</w:t>
      </w:r>
    </w:p>
    <w:p w14:paraId="0BC6CE62" w14:textId="77777777" w:rsidR="008923C2" w:rsidRDefault="00000000">
      <w:pPr>
        <w:spacing w:line="300" w:lineRule="auto"/>
      </w:pPr>
      <w:r>
        <w:rPr>
          <w:color w:val="000000"/>
        </w:rPr>
        <w:lastRenderedPageBreak/>
        <w:t>We're increasingly looking at companies or acquisition targets that will provide a distribution beyond our current emerging markets, especially in the financial services sector, where we feel that AI enablement, it's a sell-through model, through established distribution network. So that's the target that we're looking at. Of course, by and large, we're looking at small to medium cap EBITDA, definitely EBITDA positive that we can be accretive to what we have done. Two parts of it that is channeling that.</w:t>
      </w:r>
    </w:p>
    <w:p w14:paraId="64E84C8F" w14:textId="77777777" w:rsidR="008923C2" w:rsidRDefault="00000000">
      <w:pPr>
        <w:spacing w:line="300" w:lineRule="auto"/>
      </w:pPr>
      <w:r>
        <w:rPr>
          <w:color w:val="000000"/>
        </w:rPr>
        <w:t>One, we have the venture fund that I spoke about earlier and the accelerator that is feeding us the pipeline. And then second, from the balance sheet investment, we're actively looking at companies that meet this profile. We have deliberately stayed away from the U.S. companies too because the -- just the order of the valuation is too much. We are looking at areas that are complementary to our region.</w:t>
      </w:r>
    </w:p>
    <w:p w14:paraId="3ECDE450" w14:textId="77777777" w:rsidR="008923C2" w:rsidRDefault="00000000">
      <w:pPr>
        <w:spacing w:line="300" w:lineRule="auto"/>
      </w:pPr>
      <w:r>
        <w:rPr>
          <w:color w:val="000000"/>
        </w:rPr>
        <w:t>Balkans, South Europe, Central Europe is one of the areas that we're looking at, and we'll continue to do that. The key here is to find distribution networks that amplifies what we already have. So we've always been a distribution network to companies coming into the UAE. Now we ourselves are looking for targets that will become a distribution channel outside of what we already have.</w:t>
      </w:r>
    </w:p>
    <w:p w14:paraId="7BBCAD25" w14:textId="77777777" w:rsidR="008923C2" w:rsidRDefault="00000000">
      <w:pPr>
        <w:spacing w:line="300" w:lineRule="auto"/>
      </w:pPr>
      <w:r>
        <w:rPr>
          <w:b/>
          <w:color w:val="000000"/>
        </w:rPr>
        <w:t>Ram Meyoor (Chief Financial Officer)</w:t>
      </w:r>
    </w:p>
    <w:p w14:paraId="104B6DB7" w14:textId="77777777" w:rsidR="008923C2" w:rsidRDefault="00000000">
      <w:pPr>
        <w:spacing w:line="300" w:lineRule="auto"/>
      </w:pPr>
      <w:r>
        <w:rPr>
          <w:color w:val="000000"/>
        </w:rPr>
        <w:t>Sorry, the question is around the size of the sovereign AI contracts. We don't really get into the specific contract values because we are bound by the confidentiality arrangements of the engagements with the customers. But generally speaking, if you're looking on an average, a three-year contract, you're looking at about $100 million range of the contract size.</w:t>
      </w:r>
    </w:p>
    <w:p w14:paraId="38BCAFF7" w14:textId="77777777" w:rsidR="008923C2" w:rsidRDefault="00000000">
      <w:pPr>
        <w:spacing w:line="300" w:lineRule="auto"/>
      </w:pPr>
      <w:r>
        <w:rPr>
          <w:color w:val="000000"/>
        </w:rPr>
        <w:t>Insofar as the margin profiles around these contracts, it depends on whether it is the second phase or an expansion on an existing framework or an existing backbone that we have developed in Africa. Case in the point would be Angola, we started with the national cloud and public services platform three, four years ago. As we are nearing its completion, we have -- we are in a pretty advanced stage of negotiations and discussions with the customer for the second phase with another entity in Angola. Again, it will be part of the sovereign arrangements.</w:t>
      </w:r>
    </w:p>
    <w:p w14:paraId="39B77032" w14:textId="77777777" w:rsidR="008923C2" w:rsidRDefault="00000000">
      <w:pPr>
        <w:spacing w:line="300" w:lineRule="auto"/>
      </w:pPr>
      <w:r>
        <w:rPr>
          <w:color w:val="000000"/>
        </w:rPr>
        <w:t>And the second phase of the expansion contracts would have a much better margin profile simply because of the lower proportion of the infrastructure and implementation services that goes typically associated with the first greenfield contract. So we are very, very pleased to note that -- and this model has actually seen even, for example, in countries like Kazakhstan, and we also expect that to happen in the Balkans with our first contract in Albania and thereafter expanding into the neighboring countries.</w:t>
      </w:r>
    </w:p>
    <w:p w14:paraId="4D58035B" w14:textId="77777777" w:rsidR="008923C2" w:rsidRDefault="00000000">
      <w:pPr>
        <w:spacing w:line="300" w:lineRule="auto"/>
      </w:pPr>
      <w:r>
        <w:rPr>
          <w:color w:val="000000"/>
        </w:rPr>
        <w:lastRenderedPageBreak/>
        <w:t>So the first greenfield project internationally has got a slightly suppressed margin if you want to compare to the domestic market projects. But then the upside is actually the ability to expand on the existing framework and then you deliver more software-oriented products and solutions, which kind of brings in the margin profile up from the original deployment.</w:t>
      </w:r>
    </w:p>
    <w:p w14:paraId="4485A80E" w14:textId="77777777" w:rsidR="008923C2" w:rsidRDefault="00000000">
      <w:pPr>
        <w:spacing w:line="300" w:lineRule="auto"/>
      </w:pPr>
      <w:r>
        <w:rPr>
          <w:b/>
          <w:color w:val="000000"/>
        </w:rPr>
        <w:t>Thomas Pramotedham (Chief Executive Officer)</w:t>
      </w:r>
    </w:p>
    <w:p w14:paraId="568CED70" w14:textId="77777777" w:rsidR="008923C2" w:rsidRDefault="00000000">
      <w:pPr>
        <w:spacing w:line="300" w:lineRule="auto"/>
      </w:pPr>
      <w:r>
        <w:rPr>
          <w:color w:val="000000"/>
        </w:rPr>
        <w:t>The question on AIQ projects, the three active pilots and of course, the India announcement that is due to -- in the announcement, I think we will quantify it. In the size of AIQ business, I would say that it's a multiyear contract, substantial contract size in relation to the business. It will set the tone and the playbook of how AIQ is taking the Emirati solutions proven in ADNOC out, right? And the pilots are fairly -- what we can announce, the pilots are fairly repeatable.</w:t>
      </w:r>
    </w:p>
    <w:p w14:paraId="777DBF0C" w14:textId="77777777" w:rsidR="008923C2" w:rsidRDefault="00000000">
      <w:pPr>
        <w:spacing w:line="300" w:lineRule="auto"/>
      </w:pPr>
      <w:r>
        <w:rPr>
          <w:color w:val="000000"/>
        </w:rPr>
        <w:t>So it's the same use case around HSE, around better optimization of operations that are repeated, right? And I think once the announcement is out quite soon, you should be able to extrapolate from the actual announcement on who the client is. But for now, it's substantial to AIQ's business. It's multiyear, very much like how Presight has worked our playbook. And then it's repeatable in Kazakhstan and Uzbekistan that we're discussing at this point in time.</w:t>
      </w:r>
    </w:p>
    <w:p w14:paraId="2E1715A3" w14:textId="77777777" w:rsidR="008923C2" w:rsidRDefault="00000000">
      <w:pPr>
        <w:spacing w:line="300" w:lineRule="auto"/>
      </w:pPr>
      <w:r>
        <w:rPr>
          <w:b/>
          <w:color w:val="000000"/>
        </w:rPr>
        <w:t>Omar Maher (Moderator)</w:t>
      </w:r>
    </w:p>
    <w:p w14:paraId="46A5E5CE" w14:textId="77777777" w:rsidR="008923C2" w:rsidRDefault="00000000">
      <w:pPr>
        <w:spacing w:line="300" w:lineRule="auto"/>
      </w:pPr>
      <w:r>
        <w:rPr>
          <w:color w:val="000000"/>
        </w:rPr>
        <w:t>Next question is in writing. It says, would it be possible to provide the backlog split by year?</w:t>
      </w:r>
    </w:p>
    <w:p w14:paraId="656DF6A3" w14:textId="77777777" w:rsidR="008923C2" w:rsidRDefault="00000000">
      <w:pPr>
        <w:spacing w:line="300" w:lineRule="auto"/>
      </w:pPr>
      <w:r>
        <w:rPr>
          <w:b/>
          <w:color w:val="000000"/>
        </w:rPr>
        <w:t>Ram Meyoor (Chief Financial Officer)</w:t>
      </w:r>
    </w:p>
    <w:p w14:paraId="469BAD25" w14:textId="77777777" w:rsidR="008923C2" w:rsidRDefault="00000000">
      <w:pPr>
        <w:spacing w:line="300" w:lineRule="auto"/>
      </w:pPr>
      <w:r>
        <w:rPr>
          <w:color w:val="000000"/>
        </w:rPr>
        <w:t>I think we do have a slide -- we have added a slide to provide the evolution of the backlog, so to speak, from 2024. There it is. So we started out in the year 2024 at AED 1.6 billion. And today, we are at AED 4.9 billion closing Q2 of 2026. We are also showing the movements of what's coming in, in terms of fresh orders and the consumption of the backlog in terms of revenue. Does this help for answering that question? Or is there anything else?</w:t>
      </w:r>
    </w:p>
    <w:p w14:paraId="5D4E4DCA" w14:textId="77777777" w:rsidR="008923C2" w:rsidRDefault="00000000">
      <w:pPr>
        <w:spacing w:line="300" w:lineRule="auto"/>
      </w:pPr>
      <w:r>
        <w:rPr>
          <w:b/>
          <w:color w:val="000000"/>
        </w:rPr>
        <w:t>Omar Maher (Moderator)</w:t>
      </w:r>
    </w:p>
    <w:p w14:paraId="200B270F" w14:textId="77777777" w:rsidR="008923C2" w:rsidRDefault="00000000">
      <w:pPr>
        <w:spacing w:line="300" w:lineRule="auto"/>
      </w:pPr>
      <w:r>
        <w:rPr>
          <w:color w:val="000000"/>
        </w:rPr>
        <w:t>Yes. I think that's very clear. Next one is, as sovereign AI becomes increasingly strategic, how does Presight differentiate itself against global competitors just -- such as Palantir and other government AI platform providers?</w:t>
      </w:r>
    </w:p>
    <w:p w14:paraId="66E63AC5" w14:textId="77777777" w:rsidR="008923C2" w:rsidRDefault="00000000">
      <w:pPr>
        <w:spacing w:line="300" w:lineRule="auto"/>
      </w:pPr>
      <w:r>
        <w:rPr>
          <w:b/>
          <w:color w:val="000000"/>
        </w:rPr>
        <w:t>Thomas Pramotedham (Chief Executive Officer)</w:t>
      </w:r>
    </w:p>
    <w:p w14:paraId="29698CFB" w14:textId="77777777" w:rsidR="008923C2" w:rsidRDefault="00000000">
      <w:pPr>
        <w:spacing w:line="300" w:lineRule="auto"/>
      </w:pPr>
      <w:r>
        <w:rPr>
          <w:color w:val="000000"/>
        </w:rPr>
        <w:t xml:space="preserve">I think a big part of it, the H1 results is an example of how the moat continue to work for us. So we continue to work with only federal, state or state-owned enterprises on the premises that we develop sovereign AI solutions on sovereign infrastructure, right? What differentiates us is, one, we are not a foundation model builder. So we consume any efficient </w:t>
      </w:r>
      <w:r>
        <w:rPr>
          <w:color w:val="000000"/>
        </w:rPr>
        <w:lastRenderedPageBreak/>
        <w:t>models that is open source or otherwise that allow us to create a sovereignty wrap around that. Two, we work with the clients to develop domain deep expertise.</w:t>
      </w:r>
    </w:p>
    <w:p w14:paraId="515244DC" w14:textId="77777777" w:rsidR="008923C2" w:rsidRDefault="00000000">
      <w:pPr>
        <w:spacing w:line="300" w:lineRule="auto"/>
      </w:pPr>
      <w:r>
        <w:rPr>
          <w:color w:val="000000"/>
        </w:rPr>
        <w:t>So as you can see, the work that we're doing, we're not doing anything that's enterprise like with, say, what foundry is doing. We're doing deep domain expertise, agentic workflow. So Energy AI being one for the seismic and geology and upstream management. The audit platform that we are building for Abu Dhabi Accounting Authority -- UAE Accounting Authority as well as for e&amp; is specific to deep audit practices. What we have in the AI policing suite that we showcased the Abu Dhabi Police works on is deep in policing investigation. So that's the space we're in.</w:t>
      </w:r>
    </w:p>
    <w:p w14:paraId="5C28974B" w14:textId="77777777" w:rsidR="008923C2" w:rsidRDefault="00000000">
      <w:pPr>
        <w:spacing w:line="300" w:lineRule="auto"/>
      </w:pPr>
      <w:r>
        <w:rPr>
          <w:color w:val="000000"/>
        </w:rPr>
        <w:t>We continue to deepen it by having domain intelligence. We take a trusted layer around it and then we put it on sovereign AI infrastructure, right? So it's that full stack that actually gives us the moat. Palantir and the rest will come and go as we have seen over the years. And they will be in certain enterprise organizations, but that's not the space that we play in. We continue to partner nation building platforms that requires a full stack.</w:t>
      </w:r>
    </w:p>
    <w:p w14:paraId="1C40FD40" w14:textId="77777777" w:rsidR="008923C2" w:rsidRDefault="00000000">
      <w:pPr>
        <w:spacing w:line="300" w:lineRule="auto"/>
      </w:pPr>
      <w:r>
        <w:rPr>
          <w:color w:val="000000"/>
        </w:rPr>
        <w:t>And then, of course, our advantage is that we work off the entire G42 ecosystem that brings both the infrastructure in the UAE or infrastructure that we bring into the country for international business and then test out on sovereign data sets like what we're doing in ADNOC, what we're doing in Abu Dhabi government on AI solutions that can be then repeated.</w:t>
      </w:r>
    </w:p>
    <w:p w14:paraId="04405466" w14:textId="77777777" w:rsidR="008923C2" w:rsidRDefault="00000000">
      <w:pPr>
        <w:spacing w:line="300" w:lineRule="auto"/>
      </w:pPr>
      <w:r>
        <w:rPr>
          <w:color w:val="000000"/>
        </w:rPr>
        <w:t>So that is the true moat of what sovereign AI allows Presight to do and grow on. And we're very clear, this is where we play in. We don't build generic agents or enterprise. We built deep expertise domain-specific agents for national workflows that are impactful and that are mission-critical.</w:t>
      </w:r>
    </w:p>
    <w:p w14:paraId="32F27FDB" w14:textId="77777777" w:rsidR="008923C2" w:rsidRDefault="00000000">
      <w:pPr>
        <w:spacing w:line="300" w:lineRule="auto"/>
      </w:pPr>
      <w:r>
        <w:rPr>
          <w:b/>
          <w:color w:val="000000"/>
        </w:rPr>
        <w:t>Omar Maher (Moderator)</w:t>
      </w:r>
    </w:p>
    <w:p w14:paraId="1C1FD43F" w14:textId="77777777" w:rsidR="008923C2" w:rsidRDefault="00000000">
      <w:pPr>
        <w:spacing w:line="300" w:lineRule="auto"/>
      </w:pPr>
      <w:r>
        <w:rPr>
          <w:color w:val="000000"/>
        </w:rPr>
        <w:t>Thank you, Thomas. Next question is your recent agreement with Banco Santander moves the focus from a B2B model to a B2B2C model through distribution-led software delivery. Does this signal a change in your operating model?</w:t>
      </w:r>
    </w:p>
    <w:p w14:paraId="0C1E26A5" w14:textId="77777777" w:rsidR="008923C2" w:rsidRDefault="00000000">
      <w:pPr>
        <w:spacing w:line="300" w:lineRule="auto"/>
      </w:pPr>
      <w:r>
        <w:rPr>
          <w:b/>
          <w:color w:val="000000"/>
        </w:rPr>
        <w:t>Thomas Pramotedham (Chief Executive Officer)</w:t>
      </w:r>
    </w:p>
    <w:p w14:paraId="7BBD2C6E" w14:textId="77777777" w:rsidR="008923C2" w:rsidRDefault="00000000">
      <w:pPr>
        <w:spacing w:line="300" w:lineRule="auto"/>
      </w:pPr>
      <w:r>
        <w:rPr>
          <w:color w:val="000000"/>
        </w:rPr>
        <w:t>Well, it's not a change. You should see as an add-on. As we continue what I just said about that we deal with the federal state, state-owned. And Banco Santander is giving us an opportunity to pilot and test a distribution model where we work with Banco Santander. So we don't build something for Banco -- for Santander. We build something with them. And then through them, we will pilot across their markets. And very soon, we will announce one LatAm market that will pilot north of 4 million customers on the consumption of AI, right?</w:t>
      </w:r>
    </w:p>
    <w:p w14:paraId="235E6369" w14:textId="77777777" w:rsidR="008923C2" w:rsidRDefault="00000000">
      <w:pPr>
        <w:spacing w:line="300" w:lineRule="auto"/>
      </w:pPr>
      <w:r>
        <w:rPr>
          <w:color w:val="000000"/>
        </w:rPr>
        <w:lastRenderedPageBreak/>
        <w:t>And what we want to build and add on to this model is to create a separate distribution model that adds two things: one, potential annual recurring revenue that we hope to be able to bring to the business; two, distribution across territories like what I said earlier, that doesn't -- that we don't have it right now. So Banco Santander is going to be a test of both, and you will hear and see the outcomes of this partnership within 2026. And we're successful, the partnership will be accretive within early 2027 onwards.</w:t>
      </w:r>
    </w:p>
    <w:p w14:paraId="771878E6" w14:textId="77777777" w:rsidR="008923C2" w:rsidRDefault="00000000">
      <w:pPr>
        <w:spacing w:line="300" w:lineRule="auto"/>
      </w:pPr>
      <w:r>
        <w:rPr>
          <w:b/>
          <w:color w:val="000000"/>
        </w:rPr>
        <w:t>Omar Maher (Moderator)</w:t>
      </w:r>
    </w:p>
    <w:p w14:paraId="00E313E2" w14:textId="77777777" w:rsidR="008923C2" w:rsidRDefault="00000000">
      <w:pPr>
        <w:spacing w:line="300" w:lineRule="auto"/>
      </w:pPr>
      <w:r>
        <w:rPr>
          <w:color w:val="000000"/>
        </w:rPr>
        <w:t>Next question is the required contribution from 2H '26 to hit the upper end of your guidance range is below the average second half contribution of the past three years. Why are you not upgrading your guidance on the back of a strong first half?</w:t>
      </w:r>
    </w:p>
    <w:p w14:paraId="227E7030" w14:textId="77777777" w:rsidR="008923C2" w:rsidRDefault="00000000">
      <w:pPr>
        <w:spacing w:line="300" w:lineRule="auto"/>
      </w:pPr>
      <w:r>
        <w:rPr>
          <w:b/>
          <w:color w:val="000000"/>
        </w:rPr>
        <w:t>Ram Meyoor (Chief Financial Officer)</w:t>
      </w:r>
    </w:p>
    <w:p w14:paraId="67A2A5EC" w14:textId="77777777" w:rsidR="008923C2" w:rsidRDefault="00000000">
      <w:pPr>
        <w:spacing w:line="300" w:lineRule="auto"/>
      </w:pPr>
      <w:r>
        <w:rPr>
          <w:color w:val="000000"/>
        </w:rPr>
        <w:t>So as I mentioned before, briefly, when we are talking about the free cash flow question or the cash question, the acceleration in the first half is geared more -- it's going to serve to improve the linearity within the -- of the revenue and the P&amp;L items within the year, not so much as to increase the absolute volume from the prior stated guidance numbers.</w:t>
      </w:r>
    </w:p>
    <w:p w14:paraId="65C434D2" w14:textId="77777777" w:rsidR="008923C2" w:rsidRDefault="00000000">
      <w:pPr>
        <w:spacing w:line="300" w:lineRule="auto"/>
      </w:pPr>
      <w:r>
        <w:rPr>
          <w:color w:val="000000"/>
        </w:rPr>
        <w:t>So by projecting a much more aggressive Q1 and Q2, we hope to reduce some amount of stress points on the Q3 and Q4 numbers. So effectively, it serves to flatten the curve, if you will, or improve the linearity within the year and not so much as an absolute increase across the full year numbers.</w:t>
      </w:r>
    </w:p>
    <w:p w14:paraId="332B5BF8" w14:textId="77777777" w:rsidR="008923C2" w:rsidRDefault="00000000">
      <w:pPr>
        <w:spacing w:line="300" w:lineRule="auto"/>
      </w:pPr>
      <w:r>
        <w:rPr>
          <w:b/>
          <w:color w:val="000000"/>
        </w:rPr>
        <w:t>Omar Maher (Moderator)</w:t>
      </w:r>
    </w:p>
    <w:p w14:paraId="2174005A" w14:textId="77777777" w:rsidR="008923C2" w:rsidRDefault="00000000">
      <w:pPr>
        <w:spacing w:line="300" w:lineRule="auto"/>
      </w:pPr>
      <w:r>
        <w:rPr>
          <w:color w:val="000000"/>
        </w:rPr>
        <w:t>Thank you, Ram. So we have a question from [indiscernible] (46:21).</w:t>
      </w:r>
    </w:p>
    <w:p w14:paraId="7A3E4C91" w14:textId="77777777" w:rsidR="008923C2" w:rsidRDefault="00000000">
      <w:pPr>
        <w:spacing w:line="300" w:lineRule="auto"/>
      </w:pPr>
      <w:r>
        <w:rPr>
          <w:b/>
          <w:color w:val="000000"/>
        </w:rPr>
        <w:t>Ram Meyoor (Chief Financial Officer)</w:t>
      </w:r>
    </w:p>
    <w:p w14:paraId="430C48A4" w14:textId="77777777" w:rsidR="008923C2" w:rsidRDefault="00000000">
      <w:pPr>
        <w:spacing w:line="300" w:lineRule="auto"/>
      </w:pPr>
      <w:r>
        <w:rPr>
          <w:color w:val="000000"/>
        </w:rPr>
        <w:t>I think we lost...</w:t>
      </w:r>
    </w:p>
    <w:p w14:paraId="494BA00F" w14:textId="77777777" w:rsidR="008923C2" w:rsidRDefault="00000000">
      <w:pPr>
        <w:spacing w:line="300" w:lineRule="auto"/>
      </w:pPr>
      <w:r>
        <w:rPr>
          <w:b/>
          <w:color w:val="000000"/>
        </w:rPr>
        <w:t>Omar Maher (Moderator)</w:t>
      </w:r>
    </w:p>
    <w:p w14:paraId="7548292D" w14:textId="77777777" w:rsidR="008923C2" w:rsidRDefault="00000000">
      <w:pPr>
        <w:spacing w:line="300" w:lineRule="auto"/>
      </w:pPr>
      <w:r>
        <w:rPr>
          <w:color w:val="000000"/>
        </w:rPr>
        <w:t>Yes. So we have a follow-up from Maxim.</w:t>
      </w:r>
    </w:p>
    <w:p w14:paraId="6C60995B" w14:textId="77777777" w:rsidR="008923C2" w:rsidRDefault="00000000">
      <w:pPr>
        <w:spacing w:line="300" w:lineRule="auto"/>
      </w:pPr>
      <w:r>
        <w:rPr>
          <w:b/>
          <w:color w:val="000000"/>
        </w:rPr>
        <w:t>Maxim Nekrasov (Analyst)</w:t>
      </w:r>
    </w:p>
    <w:p w14:paraId="50E83B8F" w14:textId="77777777" w:rsidR="008923C2" w:rsidRDefault="00000000">
      <w:pPr>
        <w:spacing w:line="300" w:lineRule="auto"/>
      </w:pPr>
      <w:r>
        <w:rPr>
          <w:color w:val="000000"/>
        </w:rPr>
        <w:t>Just a follow-up actually on the guidance.</w:t>
      </w:r>
    </w:p>
    <w:p w14:paraId="7841AE65" w14:textId="77777777" w:rsidR="008923C2" w:rsidRDefault="00000000">
      <w:pPr>
        <w:spacing w:line="300" w:lineRule="auto"/>
      </w:pPr>
      <w:r>
        <w:rPr>
          <w:b/>
          <w:color w:val="000000"/>
        </w:rPr>
        <w:t>Ram Meyoor (Chief Financial Officer)</w:t>
      </w:r>
    </w:p>
    <w:p w14:paraId="0ACC438B" w14:textId="77777777" w:rsidR="008923C2" w:rsidRDefault="00000000">
      <w:pPr>
        <w:spacing w:line="300" w:lineRule="auto"/>
      </w:pPr>
      <w:r>
        <w:rPr>
          <w:color w:val="000000"/>
        </w:rPr>
        <w:t>Maxim, sorry, I'm interrupting you. Please go ahead.</w:t>
      </w:r>
    </w:p>
    <w:p w14:paraId="5947DFDF" w14:textId="77777777" w:rsidR="008923C2" w:rsidRDefault="00000000">
      <w:pPr>
        <w:spacing w:line="300" w:lineRule="auto"/>
      </w:pPr>
      <w:r>
        <w:rPr>
          <w:b/>
          <w:color w:val="000000"/>
        </w:rPr>
        <w:t>Maxim Nekrasov (Analyst)</w:t>
      </w:r>
    </w:p>
    <w:p w14:paraId="35644694" w14:textId="77777777" w:rsidR="008923C2" w:rsidRDefault="00000000">
      <w:pPr>
        <w:spacing w:line="300" w:lineRule="auto"/>
      </w:pPr>
      <w:r>
        <w:rPr>
          <w:color w:val="000000"/>
        </w:rPr>
        <w:lastRenderedPageBreak/>
        <w:t>Yes. Sorry, just a quick follow-up on the guidance. I understand about this year guidance, but what would make you revisit your medium-term guidance, right? Because you're talking about the pipeline of new contracts, right? So in theory, what could drive you to revisit that growth outlook?</w:t>
      </w:r>
    </w:p>
    <w:p w14:paraId="62F46A10" w14:textId="77777777" w:rsidR="008923C2" w:rsidRDefault="00000000">
      <w:pPr>
        <w:spacing w:line="300" w:lineRule="auto"/>
      </w:pPr>
      <w:r>
        <w:rPr>
          <w:b/>
          <w:color w:val="000000"/>
        </w:rPr>
        <w:t>Ram Meyoor (Chief Financial Officer)</w:t>
      </w:r>
    </w:p>
    <w:p w14:paraId="5595E0E5" w14:textId="77777777" w:rsidR="008923C2" w:rsidRDefault="00000000">
      <w:pPr>
        <w:spacing w:line="300" w:lineRule="auto"/>
      </w:pPr>
      <w:r>
        <w:rPr>
          <w:color w:val="000000"/>
        </w:rPr>
        <w:t>So a couple of things, right? Firstly, to recall, our guidance is purely organic. So the M&amp;A -- any M&amp;A progression or any conclusion of an M&amp;A deal, which are on the inorganic side of things will be incremental into the guidance, which will make us come back and relook at it. The second bit of the puzzle would be the defense industry, where we are serving the non-kinetic AI, applied AI space within the defense industry. So that's something we have the -- you can say, the first seeds of success in Q2. We had a couple of quick wins, but we would like to see more of that.</w:t>
      </w:r>
    </w:p>
    <w:p w14:paraId="71E19F68" w14:textId="77777777" w:rsidR="008923C2" w:rsidRDefault="00000000">
      <w:pPr>
        <w:spacing w:line="300" w:lineRule="auto"/>
      </w:pPr>
      <w:r>
        <w:rPr>
          <w:color w:val="000000"/>
        </w:rPr>
        <w:t>Once we gain enough traction, I think that's something that we would come back and revisit the guidance once we have a clearer view. Again, the great thing about the defense sector as such is it is very similar in terms of the stickiness in terms of the mission criticality and the application of the entire technology stack from infrastructure all the way up to the applied AI space.</w:t>
      </w:r>
    </w:p>
    <w:p w14:paraId="77AD6066" w14:textId="77777777" w:rsidR="008923C2" w:rsidRDefault="00000000">
      <w:pPr>
        <w:spacing w:line="300" w:lineRule="auto"/>
      </w:pPr>
      <w:r>
        <w:rPr>
          <w:color w:val="000000"/>
        </w:rPr>
        <w:t>That is -- that's what we do very well, and we have been replicating here in the UAE and elsewhere internationally. So it's a very, very natural progression, you can say, for us to be able to parallelly go into that sector. Once we have substantial wins, then that's something that we will come back and definitely revisit the guidance.</w:t>
      </w:r>
    </w:p>
    <w:p w14:paraId="51582091" w14:textId="77777777" w:rsidR="008923C2" w:rsidRDefault="00000000">
      <w:pPr>
        <w:spacing w:line="300" w:lineRule="auto"/>
      </w:pPr>
      <w:r>
        <w:rPr>
          <w:b/>
          <w:color w:val="000000"/>
        </w:rPr>
        <w:t>Thomas Pramotedham (Chief Executive Officer)</w:t>
      </w:r>
    </w:p>
    <w:p w14:paraId="3CE629BA" w14:textId="77777777" w:rsidR="008923C2" w:rsidRDefault="00000000">
      <w:pPr>
        <w:spacing w:line="300" w:lineRule="auto"/>
      </w:pPr>
      <w:r>
        <w:rPr>
          <w:color w:val="000000"/>
        </w:rPr>
        <w:t>Yes. And just a note on the defense sector. So we want to make sure that it's not a one-off that is a sustainable sector like what we've done with energy, we're doing in financial services. I think on that box is tick, we definitely will relook at the guidance, and I suspect that would probably be in Q3 or Q4 as we wrap the year. And then second would be a trigger on the inorganic. So I think these are the two triggers, prerequisites to us revisiting the guidance, and hopefully, we get it done earlier than later.</w:t>
      </w:r>
    </w:p>
    <w:p w14:paraId="64DB903F" w14:textId="77777777" w:rsidR="008923C2" w:rsidRDefault="00000000">
      <w:pPr>
        <w:spacing w:line="300" w:lineRule="auto"/>
      </w:pPr>
      <w:r>
        <w:rPr>
          <w:b/>
          <w:color w:val="000000"/>
        </w:rPr>
        <w:t>Unknown Speaker (Analyst)</w:t>
      </w:r>
    </w:p>
    <w:p w14:paraId="5639AC42" w14:textId="77777777" w:rsidR="008923C2" w:rsidRDefault="00000000">
      <w:pPr>
        <w:spacing w:line="300" w:lineRule="auto"/>
      </w:pPr>
      <w:r>
        <w:rPr>
          <w:color w:val="000000"/>
        </w:rPr>
        <w:t>Can you hear me now?</w:t>
      </w:r>
    </w:p>
    <w:p w14:paraId="7D9244FA" w14:textId="77777777" w:rsidR="008923C2" w:rsidRDefault="00000000">
      <w:pPr>
        <w:spacing w:line="300" w:lineRule="auto"/>
      </w:pPr>
      <w:r>
        <w:rPr>
          <w:b/>
          <w:color w:val="000000"/>
        </w:rPr>
        <w:t>Omar Maher (Moderator)</w:t>
      </w:r>
    </w:p>
    <w:p w14:paraId="6F6D2553" w14:textId="77777777" w:rsidR="008923C2" w:rsidRDefault="00000000">
      <w:pPr>
        <w:spacing w:line="300" w:lineRule="auto"/>
      </w:pPr>
      <w:r>
        <w:rPr>
          <w:color w:val="000000"/>
        </w:rPr>
        <w:t>Yes.</w:t>
      </w:r>
    </w:p>
    <w:p w14:paraId="493DE0C1" w14:textId="77777777" w:rsidR="008923C2" w:rsidRDefault="00000000">
      <w:pPr>
        <w:spacing w:line="300" w:lineRule="auto"/>
      </w:pPr>
      <w:r>
        <w:rPr>
          <w:b/>
          <w:color w:val="000000"/>
        </w:rPr>
        <w:t>Unknown Speaker (Analyst)</w:t>
      </w:r>
    </w:p>
    <w:p w14:paraId="65E432D7" w14:textId="77777777" w:rsidR="008923C2" w:rsidRDefault="00000000">
      <w:pPr>
        <w:spacing w:line="300" w:lineRule="auto"/>
      </w:pPr>
      <w:r>
        <w:rPr>
          <w:color w:val="000000"/>
        </w:rPr>
        <w:lastRenderedPageBreak/>
        <w:t>I have three questions, please. First one is a follow-up on cash flow generation. If I look at the longer time frame, the cash pile was flat, not only year-to-date, but over the last 18 months and operating cash flow as a percentage of net income was less than 20%.</w:t>
      </w:r>
    </w:p>
    <w:p w14:paraId="7E7F3D11" w14:textId="77777777" w:rsidR="008923C2" w:rsidRDefault="00000000">
      <w:pPr>
        <w:spacing w:line="300" w:lineRule="auto"/>
      </w:pPr>
      <w:r>
        <w:rPr>
          <w:color w:val="000000"/>
        </w:rPr>
        <w:t>Is it possible for you to guide for some normalized through the cycle ratio for cash flow from operations as a percentage of net income, maybe 30%, 50%, 70%? And also on cash collections, as Ram mentioned, some longer collections related to the budget cycles. Did you consider accruing some ECL provisions in that case? Or do you still view it as just natural related to the cycle? That will be the first question, please.</w:t>
      </w:r>
    </w:p>
    <w:p w14:paraId="7256A2A5" w14:textId="77777777" w:rsidR="008923C2" w:rsidRDefault="00000000">
      <w:pPr>
        <w:spacing w:line="300" w:lineRule="auto"/>
      </w:pPr>
      <w:r>
        <w:rPr>
          <w:b/>
          <w:color w:val="000000"/>
        </w:rPr>
        <w:t>Ram Meyoor (Chief Financial Officer)</w:t>
      </w:r>
    </w:p>
    <w:p w14:paraId="00AA7C52" w14:textId="77777777" w:rsidR="008923C2" w:rsidRDefault="00000000">
      <w:pPr>
        <w:spacing w:line="300" w:lineRule="auto"/>
      </w:pPr>
      <w:r>
        <w:rPr>
          <w:color w:val="000000"/>
        </w:rPr>
        <w:t>So the first question was with respect to operating cash ratio. So we don't typically -- we can go back and relook at it. But at this point, we don't -- there's no plan to provide a cash guidance as a percentage of revenue. But however, I did give a forward-looking statement in the last earnings as well as today that we expect the cash flow generation -- operating cash flow, which is equals almost -- it's a good proxy for free cash flow in our case, to be -- to show healthy growth compared to the last year. So -- and in a way, it also answers the second question.</w:t>
      </w:r>
    </w:p>
    <w:p w14:paraId="27700A51" w14:textId="77777777" w:rsidR="008923C2" w:rsidRDefault="00000000">
      <w:pPr>
        <w:spacing w:line="300" w:lineRule="auto"/>
      </w:pPr>
      <w:r>
        <w:rPr>
          <w:color w:val="000000"/>
        </w:rPr>
        <w:t>Insofar as -- we actually -- as I was responding to Karen earlier in the call, our cash collection in the first half is north of AED 1 billion, right? And that gives you a sense of the activity and the process flow with our customers. Our customers are sovereign customers here in the domestic with pristine credit. And then whenever we are looking at international customers, as I mentioned earlier, we do have -- we do, as a matter of process, put together elaborate credit structures to support the commercial transaction so that we mitigate all the credit risks and liquidity risks, et cetera, et cetera, contributes in whichever jurisdiction we are operating.</w:t>
      </w:r>
    </w:p>
    <w:p w14:paraId="10488592" w14:textId="77777777" w:rsidR="008923C2" w:rsidRDefault="00000000">
      <w:pPr>
        <w:spacing w:line="300" w:lineRule="auto"/>
      </w:pPr>
      <w:r>
        <w:rPr>
          <w:color w:val="000000"/>
        </w:rPr>
        <w:t>So if you put all those things together, that's the reason why our ECL estimations are always low or minimal because we don't anticipate any credit losses happening to the -- to our customer base or to our receivables. It's a question of working with our customers in terms of the cycle times as to how quickly we can convert the contract assets, which has kind of expanded because of the accelerated revenue of flattening the curve, linearity.</w:t>
      </w:r>
    </w:p>
    <w:p w14:paraId="4938DD3C" w14:textId="77777777" w:rsidR="008923C2" w:rsidRDefault="00000000">
      <w:pPr>
        <w:spacing w:line="300" w:lineRule="auto"/>
      </w:pPr>
      <w:r>
        <w:rPr>
          <w:color w:val="000000"/>
        </w:rPr>
        <w:t>And how can we convert the contract assets into trade receivables into cash. And like I said, if you extrapolate these numbers, we should land up on a pretty healthy growth rate compared to year-on-year, and that's our expectation, and we are working towards that.</w:t>
      </w:r>
    </w:p>
    <w:p w14:paraId="258C28EB" w14:textId="77777777" w:rsidR="008923C2" w:rsidRDefault="00000000">
      <w:pPr>
        <w:spacing w:line="300" w:lineRule="auto"/>
      </w:pPr>
      <w:r>
        <w:rPr>
          <w:b/>
          <w:color w:val="000000"/>
        </w:rPr>
        <w:t>Unknown Speaker (Analyst)</w:t>
      </w:r>
    </w:p>
    <w:p w14:paraId="0D0A8090" w14:textId="77777777" w:rsidR="008923C2" w:rsidRDefault="00000000">
      <w:pPr>
        <w:spacing w:line="300" w:lineRule="auto"/>
      </w:pPr>
      <w:r>
        <w:rPr>
          <w:color w:val="000000"/>
        </w:rPr>
        <w:t xml:space="preserve">Great. I have other questions, please, on your business development. First one on -- is there any update that you can give on Stargate potentially, maybe any expectation when it's </w:t>
      </w:r>
      <w:r>
        <w:rPr>
          <w:color w:val="000000"/>
        </w:rPr>
        <w:lastRenderedPageBreak/>
        <w:t>ready, can we see -- when can we start seeing more business for you, which is purely software analytics, meaning based on tokenized access of some international sovereigns.</w:t>
      </w:r>
    </w:p>
    <w:p w14:paraId="66F2C8D6" w14:textId="77777777" w:rsidR="008923C2" w:rsidRDefault="00000000">
      <w:pPr>
        <w:spacing w:line="300" w:lineRule="auto"/>
      </w:pPr>
      <w:r>
        <w:rPr>
          <w:color w:val="000000"/>
        </w:rPr>
        <w:t>So any changes to your international business so they already can start using Stargate? Are we talking about 2027, 2028? Any update would be great. And my final question on CIS specifically. Can you please discuss any implications of NVIDIA Fiber expansion in Kazakhstan and Armenia? And as for Azerbaijan, is there any update on the agreement with SOCAR that you could share, please?</w:t>
      </w:r>
    </w:p>
    <w:p w14:paraId="0B0FA03F" w14:textId="77777777" w:rsidR="008923C2" w:rsidRDefault="00000000">
      <w:pPr>
        <w:spacing w:line="300" w:lineRule="auto"/>
      </w:pPr>
      <w:r>
        <w:rPr>
          <w:b/>
          <w:color w:val="000000"/>
        </w:rPr>
        <w:t>Thomas Pramotedham (Chief Executive Officer)</w:t>
      </w:r>
    </w:p>
    <w:p w14:paraId="718356F1" w14:textId="77777777" w:rsidR="008923C2" w:rsidRDefault="00000000">
      <w:pPr>
        <w:spacing w:line="300" w:lineRule="auto"/>
      </w:pPr>
      <w:r>
        <w:rPr>
          <w:color w:val="000000"/>
        </w:rPr>
        <w:t>So on the first question on Stargate, I believe Stargate was still on track for the first 200 megawatts to go online towards the end of Q3, Q4. Remember, Stargate, its first gigawatt is part of a larger U.S.-UAE collaboration. So when you build out the first gigawatt, that already has offtake between Microsoft and OpenAI. Two, we expect maybe in 2027 towards the end of it where the digital Embassy infrastructure play where we deploy software solutions in UAE infrastructure for international markets. I think end 2027 is likely to be a place where the capacity is available.</w:t>
      </w:r>
    </w:p>
    <w:p w14:paraId="56AB5562" w14:textId="77777777" w:rsidR="008923C2" w:rsidRDefault="00000000">
      <w:pPr>
        <w:spacing w:line="300" w:lineRule="auto"/>
      </w:pPr>
      <w:r>
        <w:rPr>
          <w:color w:val="000000"/>
        </w:rPr>
        <w:t>Of course, this is, again, you'll be familiar that is accelerated by the recent reclassification of UAE in -- from the Department of Commerce. The second question on Fiber and NVIDIA, that is a testament towards Kazakhstan becoming an AI hub with the Data Center Valley project in Kazakhstan itself. They are becoming a hub because, one, land is available.</w:t>
      </w:r>
    </w:p>
    <w:p w14:paraId="05F777EE" w14:textId="77777777" w:rsidR="008923C2" w:rsidRDefault="00000000">
      <w:pPr>
        <w:spacing w:line="300" w:lineRule="auto"/>
      </w:pPr>
      <w:r>
        <w:rPr>
          <w:color w:val="000000"/>
        </w:rPr>
        <w:t>They have a good deal with utilities, electric and water and the connectivity, they are building a new subsea cable through the Caspian Sea that is going to bring latency down from, if I'm not mistaken, 85 millisecond to 45 millisecond round trip. What that means? That means that Kazakhstan will, over time, become a credible AI hub.</w:t>
      </w:r>
    </w:p>
    <w:p w14:paraId="01C0AB73" w14:textId="77777777" w:rsidR="008923C2" w:rsidRDefault="00000000">
      <w:pPr>
        <w:spacing w:line="300" w:lineRule="auto"/>
      </w:pPr>
      <w:r>
        <w:rPr>
          <w:color w:val="000000"/>
        </w:rPr>
        <w:t>And what it means to us is that our investment in Kazakhstan to develop solutions on top of the supercomputers and infrastructure is going to serve. So it is feasible and probable that Kazakhstan may adopt a digital embassy approach like the UAE serving the CIS region, right? And then this is where the heightened growth in AI cluster investment is going to Kazakhstan. So I think that's really lucrative for us.</w:t>
      </w:r>
    </w:p>
    <w:p w14:paraId="577E00EA" w14:textId="77777777" w:rsidR="008923C2" w:rsidRDefault="00000000">
      <w:pPr>
        <w:spacing w:line="300" w:lineRule="auto"/>
      </w:pPr>
      <w:r>
        <w:rPr>
          <w:b/>
          <w:color w:val="000000"/>
        </w:rPr>
        <w:t>Ram Meyoor (Chief Financial Officer)</w:t>
      </w:r>
    </w:p>
    <w:p w14:paraId="17F5FC4F" w14:textId="77777777" w:rsidR="008923C2" w:rsidRDefault="00000000">
      <w:pPr>
        <w:spacing w:line="300" w:lineRule="auto"/>
      </w:pPr>
      <w:r>
        <w:rPr>
          <w:color w:val="000000"/>
        </w:rPr>
        <w:t>The third part of your question was about the SOCAR. So Azerbaijan as such continues to be a very, very important market for us. We have continued to be -- we have deep and wide engagements with several entities, especially with the Ministry of Telecom and the Ministry of Education. With respect to the energy and utilities sector, we are making a pretty conscious retuning of our approach there.</w:t>
      </w:r>
    </w:p>
    <w:p w14:paraId="52DD3160" w14:textId="77777777" w:rsidR="008923C2" w:rsidRDefault="00000000">
      <w:pPr>
        <w:spacing w:line="300" w:lineRule="auto"/>
      </w:pPr>
      <w:r>
        <w:rPr>
          <w:color w:val="000000"/>
        </w:rPr>
        <w:lastRenderedPageBreak/>
        <w:t>We would like to be more involved in the software platform side of -- application side of the gas and utility grids as opposed to actually taking up the responsibility of deploying the grid itself in terms of the physical assets and the services that is involved. So hence, that's the kind of the delay in the -- for us to conclude that arrangement because we want to be making sure that arrangement serves us and the SOCAR as well as we look out into the medium-term guidance.</w:t>
      </w:r>
    </w:p>
    <w:p w14:paraId="0ABBFF14" w14:textId="77777777" w:rsidR="008923C2" w:rsidRDefault="00000000">
      <w:pPr>
        <w:spacing w:line="300" w:lineRule="auto"/>
      </w:pPr>
      <w:r>
        <w:rPr>
          <w:color w:val="000000"/>
        </w:rPr>
        <w:t>And SOCAR as such is -- we have not included SOCAR or any of the opportunities related in Azerbaijan in the backlog yet. So that's a potential upside to the backlog number that we have stated today if and when that happens.</w:t>
      </w:r>
    </w:p>
    <w:p w14:paraId="69355584" w14:textId="77777777" w:rsidR="008923C2" w:rsidRDefault="00000000">
      <w:pPr>
        <w:spacing w:line="300" w:lineRule="auto"/>
      </w:pPr>
      <w:r>
        <w:rPr>
          <w:b/>
          <w:color w:val="000000"/>
        </w:rPr>
        <w:t>Omar Maher (Moderator)</w:t>
      </w:r>
    </w:p>
    <w:p w14:paraId="3E1E8C15" w14:textId="77777777" w:rsidR="008923C2" w:rsidRDefault="00000000">
      <w:pPr>
        <w:spacing w:line="300" w:lineRule="auto"/>
      </w:pPr>
      <w:r>
        <w:rPr>
          <w:color w:val="000000"/>
        </w:rPr>
        <w:t>Thank you. It looks like we don't have any more questions in the queue. So back to management for any concluding remarks.</w:t>
      </w:r>
    </w:p>
    <w:p w14:paraId="34F0E762" w14:textId="77777777" w:rsidR="008923C2" w:rsidRDefault="00000000">
      <w:pPr>
        <w:spacing w:line="300" w:lineRule="auto"/>
      </w:pPr>
      <w:r>
        <w:rPr>
          <w:b/>
          <w:color w:val="000000"/>
        </w:rPr>
        <w:t>Thomas Pramotedham (Chief Executive Officer)</w:t>
      </w:r>
    </w:p>
    <w:p w14:paraId="18E967B5" w14:textId="77777777" w:rsidR="008923C2" w:rsidRDefault="00000000">
      <w:pPr>
        <w:spacing w:line="300" w:lineRule="auto"/>
      </w:pPr>
      <w:r>
        <w:rPr>
          <w:color w:val="000000"/>
        </w:rPr>
        <w:t>Once again, so thank you for joining. I know it's summer period. We'll continue to update. We are seeing the indications of the new sectors coming in. We want to report against that. We want to report against the new territories that are coming, especially Montenegro, Balkans. So stay tuned for that. The distribution model for those who have joined us on the earlier calls, is something we're working on.</w:t>
      </w:r>
    </w:p>
    <w:p w14:paraId="4D3C3AB5" w14:textId="77777777" w:rsidR="008923C2" w:rsidRDefault="00000000">
      <w:pPr>
        <w:spacing w:line="300" w:lineRule="auto"/>
      </w:pPr>
      <w:r>
        <w:rPr>
          <w:color w:val="000000"/>
        </w:rPr>
        <w:t>And I believe that within 2026, not early 2027, you'll see the proof points, one of the existing partnerships we're doing. Two, in the M&amp;A space, you will see the proof points on how we're trying to bring this together to create an additional operating model and revenue stream on top of the current organic business. So thank you, everybody, for taking the time.</w:t>
      </w:r>
    </w:p>
    <w:p w14:paraId="1AA51530" w14:textId="77777777" w:rsidR="008923C2" w:rsidRDefault="00000000">
      <w:pPr>
        <w:spacing w:line="300" w:lineRule="auto"/>
      </w:pPr>
      <w:r>
        <w:rPr>
          <w:b/>
          <w:color w:val="000000"/>
        </w:rPr>
        <w:t>Ram Meyoor (Chief Financial Officer)</w:t>
      </w:r>
    </w:p>
    <w:p w14:paraId="4A2A8756" w14:textId="77777777" w:rsidR="008923C2" w:rsidRDefault="00000000">
      <w:pPr>
        <w:spacing w:line="300" w:lineRule="auto"/>
      </w:pPr>
      <w:r>
        <w:rPr>
          <w:color w:val="000000"/>
        </w:rPr>
        <w:t>Thank you.</w:t>
      </w:r>
    </w:p>
    <w:p w14:paraId="5C96D139" w14:textId="77777777" w:rsidR="008923C2" w:rsidRDefault="00000000">
      <w:pPr>
        <w:spacing w:line="300" w:lineRule="auto"/>
      </w:pPr>
      <w:r>
        <w:rPr>
          <w:b/>
          <w:color w:val="000000"/>
        </w:rPr>
        <w:t>Omar Maher (Moderator)</w:t>
      </w:r>
    </w:p>
    <w:p w14:paraId="20E54F86" w14:textId="77777777" w:rsidR="008923C2" w:rsidRDefault="00000000">
      <w:pPr>
        <w:spacing w:line="300" w:lineRule="auto"/>
      </w:pPr>
      <w:r>
        <w:rPr>
          <w:color w:val="000000"/>
        </w:rPr>
        <w:t>Thank you very much, Thomas, Ram and Roger, and thank you, everyone, for your participation. This concludes the call, and have a good week. Thank you.</w:t>
      </w:r>
    </w:p>
    <w:p w14:paraId="18289D07" w14:textId="77777777" w:rsidR="008923C2" w:rsidRDefault="00000000">
      <w:pPr>
        <w:spacing w:line="300" w:lineRule="auto"/>
      </w:pPr>
      <w:r>
        <w:rPr>
          <w:b/>
          <w:color w:val="000000"/>
        </w:rPr>
        <w:t>Thomas Pramotedham (Chief Executive Officer)</w:t>
      </w:r>
    </w:p>
    <w:p w14:paraId="691CC4BF" w14:textId="77777777" w:rsidR="008923C2" w:rsidRDefault="00000000">
      <w:pPr>
        <w:spacing w:line="300" w:lineRule="auto"/>
      </w:pPr>
      <w:r>
        <w:rPr>
          <w:color w:val="000000"/>
        </w:rPr>
        <w:t>Thanks, Omar.</w:t>
      </w:r>
    </w:p>
    <w:sectPr w:rsidR="008923C2"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EEE7B" w14:textId="77777777" w:rsidR="00E31C3F" w:rsidRDefault="00E31C3F" w:rsidP="001D66BB">
      <w:pPr>
        <w:spacing w:after="0" w:line="240" w:lineRule="auto"/>
      </w:pPr>
      <w:r>
        <w:separator/>
      </w:r>
    </w:p>
  </w:endnote>
  <w:endnote w:type="continuationSeparator" w:id="0">
    <w:p w14:paraId="62A1A2C8" w14:textId="77777777" w:rsidR="00E31C3F" w:rsidRDefault="00E31C3F" w:rsidP="001D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0ADA" w14:textId="77777777" w:rsidR="00E31C3F" w:rsidRDefault="00E31C3F" w:rsidP="001D66BB">
      <w:pPr>
        <w:spacing w:after="0" w:line="240" w:lineRule="auto"/>
      </w:pPr>
      <w:r>
        <w:separator/>
      </w:r>
    </w:p>
  </w:footnote>
  <w:footnote w:type="continuationSeparator" w:id="0">
    <w:p w14:paraId="1C8E9108" w14:textId="77777777" w:rsidR="00E31C3F" w:rsidRDefault="00E31C3F" w:rsidP="001D6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F51F" w14:textId="19FD12E0" w:rsidR="001D66BB" w:rsidRDefault="001D66BB">
    <w:pPr>
      <w:pStyle w:val="Header"/>
    </w:pPr>
    <w:r>
      <w:rPr>
        <w:noProof/>
      </w:rPr>
      <w:drawing>
        <wp:anchor distT="0" distB="0" distL="114300" distR="114300" simplePos="0" relativeHeight="251658240" behindDoc="1" locked="0" layoutInCell="1" allowOverlap="1" wp14:anchorId="1CC9CC61" wp14:editId="2C5105E2">
          <wp:simplePos x="0" y="0"/>
          <wp:positionH relativeFrom="column">
            <wp:posOffset>3101340</wp:posOffset>
          </wp:positionH>
          <wp:positionV relativeFrom="paragraph">
            <wp:posOffset>-1143000</wp:posOffset>
          </wp:positionV>
          <wp:extent cx="3474720" cy="2457641"/>
          <wp:effectExtent l="0" t="0" r="0" b="0"/>
          <wp:wrapNone/>
          <wp:docPr id="1571204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04273" name="Picture 1571204273"/>
                  <pic:cNvPicPr/>
                </pic:nvPicPr>
                <pic:blipFill>
                  <a:blip r:embed="rId1"/>
                  <a:stretch>
                    <a:fillRect/>
                  </a:stretch>
                </pic:blipFill>
                <pic:spPr>
                  <a:xfrm>
                    <a:off x="0" y="0"/>
                    <a:ext cx="3474720" cy="245764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096638">
    <w:abstractNumId w:val="8"/>
  </w:num>
  <w:num w:numId="2" w16cid:durableId="1544829627">
    <w:abstractNumId w:val="6"/>
  </w:num>
  <w:num w:numId="3" w16cid:durableId="1569461439">
    <w:abstractNumId w:val="5"/>
  </w:num>
  <w:num w:numId="4" w16cid:durableId="1298295174">
    <w:abstractNumId w:val="4"/>
  </w:num>
  <w:num w:numId="5" w16cid:durableId="69085410">
    <w:abstractNumId w:val="7"/>
  </w:num>
  <w:num w:numId="6" w16cid:durableId="598492386">
    <w:abstractNumId w:val="3"/>
  </w:num>
  <w:num w:numId="7" w16cid:durableId="1260019566">
    <w:abstractNumId w:val="2"/>
  </w:num>
  <w:num w:numId="8" w16cid:durableId="665210699">
    <w:abstractNumId w:val="1"/>
  </w:num>
  <w:num w:numId="9" w16cid:durableId="120529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6BB"/>
    <w:rsid w:val="0029639D"/>
    <w:rsid w:val="00326F90"/>
    <w:rsid w:val="007E52A3"/>
    <w:rsid w:val="008923C2"/>
    <w:rsid w:val="00AA1D8D"/>
    <w:rsid w:val="00B47730"/>
    <w:rsid w:val="00CB0664"/>
    <w:rsid w:val="00E31C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7AC0"/>
  <w14:defaultImageDpi w14:val="300"/>
  <w15:docId w15:val="{A172D3FD-CEE4-47DF-80F8-DD397F73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8350</Words>
  <Characters>42423</Characters>
  <Application>Microsoft Office Word</Application>
  <DocSecurity>0</DocSecurity>
  <Lines>662</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Victoria Haralson</cp:lastModifiedBy>
  <cp:revision>2</cp:revision>
  <dcterms:created xsi:type="dcterms:W3CDTF">2013-12-23T23:15:00Z</dcterms:created>
  <dcterms:modified xsi:type="dcterms:W3CDTF">2026-08-12T22:28:00Z</dcterms:modified>
  <cp:category/>
</cp:coreProperties>
</file>